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193"/>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人民政府驻上海办事处单位决算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公开时间：2023年9月6日</w:t>
      </w:r>
    </w:p>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r>
      <w:r>
        <w:rPr>
          <w:rFonts w:hint="eastAsia"/>
          <w:sz w:val="24"/>
          <w:lang w:val="en-US" w:eastAsia="zh-CN"/>
        </w:rPr>
        <w:tab/>
      </w:r>
      <w:r>
        <w:rPr>
          <w:rFonts w:hint="eastAsia"/>
          <w:sz w:val="24"/>
          <w:lang w:val="en-US" w:eastAsia="zh-CN"/>
        </w:rPr>
        <w:t>4</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一、主要职责</w:t>
      </w:r>
      <w:r>
        <w:rPr>
          <w:rFonts w:hint="eastAsia"/>
          <w:sz w:val="24"/>
          <w:lang w:val="en-US" w:eastAsia="zh-CN"/>
        </w:rPr>
        <w:tab/>
      </w:r>
      <w:r>
        <w:rPr>
          <w:rFonts w:hint="eastAsia"/>
          <w:sz w:val="24"/>
          <w:lang w:val="en-US" w:eastAsia="zh-CN"/>
        </w:rPr>
        <w:tab/>
      </w:r>
      <w:r>
        <w:rPr>
          <w:rFonts w:hint="eastAsia"/>
          <w:sz w:val="24"/>
          <w:lang w:val="en-US" w:eastAsia="zh-CN"/>
        </w:rPr>
        <w:t>4</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lang w:val="en-US" w:eastAsia="zh-CN"/>
        </w:rPr>
      </w:pPr>
      <w:r>
        <w:rPr>
          <w:rFonts w:hint="eastAsia"/>
          <w:sz w:val="24"/>
        </w:rPr>
        <w:t>二、机构设置</w:t>
      </w:r>
      <w:r>
        <w:rPr>
          <w:rFonts w:hint="eastAsia"/>
          <w:sz w:val="24"/>
          <w:lang w:val="en-US" w:eastAsia="zh-CN"/>
        </w:rPr>
        <w:tab/>
      </w:r>
      <w:r>
        <w:rPr>
          <w:rFonts w:hint="eastAsia"/>
          <w:sz w:val="24"/>
          <w:lang w:val="en-US" w:eastAsia="zh-CN"/>
        </w:rPr>
        <w:tab/>
      </w:r>
      <w:r>
        <w:rPr>
          <w:rFonts w:hint="eastAsia"/>
          <w:sz w:val="24"/>
          <w:lang w:val="en-US" w:eastAsia="zh-CN"/>
        </w:rPr>
        <w:t>5</w:t>
      </w:r>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jc w:val="left"/>
        <w:textAlignment w:val="auto"/>
        <w:rPr>
          <w:rFonts w:hint="default" w:eastAsia="仿宋"/>
          <w:sz w:val="24"/>
          <w:szCs w:val="24"/>
          <w:lang w:val="en-US" w:eastAsia="zh-CN"/>
        </w:rPr>
      </w:pPr>
      <w:r>
        <w:rPr>
          <w:rFonts w:hint="eastAsia"/>
          <w:sz w:val="24"/>
        </w:rPr>
        <w:t>第二部分 2022年度单位决算情况说明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ab/>
      </w:r>
      <w:r>
        <w:rPr>
          <w:rFonts w:hint="eastAsia"/>
          <w:sz w:val="24"/>
          <w:lang w:val="en-US" w:eastAsia="zh-CN"/>
        </w:rPr>
        <w:t>6</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ab/>
      </w:r>
      <w:r>
        <w:rPr>
          <w:rFonts w:hint="eastAsia"/>
          <w:sz w:val="24"/>
          <w:lang w:val="en-US" w:eastAsia="zh-CN"/>
        </w:rPr>
        <w:t>7</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ab/>
      </w:r>
      <w:r>
        <w:rPr>
          <w:rFonts w:hint="eastAsia"/>
          <w:sz w:val="24"/>
          <w:lang w:val="en-US" w:eastAsia="zh-CN"/>
        </w:rPr>
        <w:t>7</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ab/>
      </w:r>
      <w:r>
        <w:rPr>
          <w:rFonts w:hint="eastAsia"/>
          <w:sz w:val="24"/>
          <w:lang w:val="en-US" w:eastAsia="zh-CN"/>
        </w:rPr>
        <w:t>8</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ab/>
      </w:r>
      <w:r>
        <w:rPr>
          <w:rFonts w:hint="eastAsia"/>
          <w:sz w:val="24"/>
          <w:lang w:val="en-US" w:eastAsia="zh-CN"/>
        </w:rPr>
        <w:t>10</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ab/>
      </w:r>
      <w:r>
        <w:rPr>
          <w:rFonts w:hint="eastAsia"/>
          <w:sz w:val="24"/>
          <w:lang w:val="en-US" w:eastAsia="zh-CN"/>
        </w:rPr>
        <w:t>11</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ab/>
      </w:r>
      <w:r>
        <w:rPr>
          <w:rFonts w:hint="eastAsia"/>
          <w:sz w:val="24"/>
          <w:lang w:val="en-US" w:eastAsia="zh-CN"/>
        </w:rPr>
        <w:t>13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九、国有资本经营预算支出决算情况说明</w:t>
      </w:r>
      <w:r>
        <w:rPr>
          <w:rFonts w:hint="eastAsia"/>
          <w:sz w:val="24"/>
          <w:lang w:val="en-US" w:eastAsia="zh-CN"/>
        </w:rPr>
        <w:tab/>
      </w:r>
      <w:r>
        <w:rPr>
          <w:rFonts w:hint="eastAsia"/>
          <w:sz w:val="24"/>
          <w:lang w:val="en-US" w:eastAsia="zh-CN"/>
        </w:rPr>
        <w:tab/>
      </w:r>
      <w:r>
        <w:rPr>
          <w:rFonts w:hint="eastAsia"/>
          <w:sz w:val="24"/>
          <w:lang w:val="en-US" w:eastAsia="zh-CN"/>
        </w:rPr>
        <w:t>13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十、其他重要事项的情况说明</w:t>
      </w:r>
      <w:r>
        <w:rPr>
          <w:rFonts w:hint="eastAsia"/>
          <w:sz w:val="24"/>
          <w:lang w:val="en-US" w:eastAsia="zh-CN"/>
        </w:rPr>
        <w:tab/>
      </w:r>
      <w:r>
        <w:rPr>
          <w:rFonts w:hint="eastAsia"/>
          <w:sz w:val="24"/>
          <w:lang w:val="en-US" w:eastAsia="zh-CN"/>
        </w:rPr>
        <w:tab/>
      </w:r>
      <w:r>
        <w:rPr>
          <w:rFonts w:hint="eastAsia"/>
          <w:sz w:val="24"/>
          <w:lang w:val="en-US" w:eastAsia="zh-CN"/>
        </w:rPr>
        <w:t>13</w:t>
      </w:r>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ab/>
      </w:r>
      <w:r>
        <w:rPr>
          <w:rFonts w:hint="eastAsia"/>
          <w:sz w:val="24"/>
          <w:lang w:val="en-US" w:eastAsia="zh-CN"/>
        </w:rPr>
        <w:t>15</w:t>
      </w:r>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ab/>
      </w:r>
      <w:r>
        <w:rPr>
          <w:rFonts w:hint="eastAsia"/>
          <w:sz w:val="24"/>
          <w:lang w:val="en-US" w:eastAsia="zh-CN"/>
        </w:rPr>
        <w:t>18</w:t>
      </w:r>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0"/>
        <w:keepNext w:val="0"/>
        <w:keepLines w:val="0"/>
        <w:pageBreakBefore w:val="0"/>
        <w:widowControl w:val="0"/>
        <w:tabs>
          <w:tab w:val="right" w:leader="dot" w:pos="7140"/>
        </w:tabs>
        <w:kinsoku/>
        <w:wordWrap/>
        <w:overflowPunct/>
        <w:topLinePunct w:val="0"/>
        <w:autoSpaceDE/>
        <w:autoSpaceDN/>
        <w:bidi w:val="0"/>
        <w:adjustRightInd w:val="0"/>
        <w:snapToGrid w:val="0"/>
        <w:spacing w:before="0" w:line="440" w:lineRule="exact"/>
        <w:ind w:firstLine="480" w:firstLineChars="200"/>
        <w:jc w:val="left"/>
        <w:textAlignment w:val="auto"/>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ab/>
      </w:r>
      <w:r>
        <w:rPr>
          <w:rFonts w:hint="eastAsia"/>
          <w:sz w:val="24"/>
          <w:lang w:val="en-US" w:eastAsia="zh-CN"/>
        </w:rPr>
        <w:t>23</w:t>
      </w:r>
    </w:p>
    <w:p>
      <w:pPr>
        <w:pStyle w:val="11"/>
        <w:keepNext w:val="0"/>
        <w:keepLines w:val="0"/>
        <w:pageBreakBefore w:val="0"/>
        <w:widowControl w:val="0"/>
        <w:tabs>
          <w:tab w:val="right" w:leader="dot" w:pos="7140"/>
        </w:tabs>
        <w:kinsoku/>
        <w:wordWrap/>
        <w:overflowPunct/>
        <w:topLinePunct w:val="0"/>
        <w:autoSpaceDE/>
        <w:autoSpaceDN/>
        <w:bidi w:val="0"/>
        <w:adjustRightInd w:val="0"/>
        <w:snapToGrid w:val="0"/>
        <w:spacing w:line="440" w:lineRule="exact"/>
        <w:jc w:val="left"/>
        <w:textAlignment w:val="auto"/>
        <w:rPr>
          <w:rFonts w:ascii="仿宋" w:hAnsi="仿宋" w:eastAsia="仿宋"/>
          <w:bCs/>
          <w:kern w:val="44"/>
          <w:sz w:val="24"/>
        </w:rPr>
      </w:pPr>
      <w:r>
        <w:rPr>
          <w:rFonts w:hint="eastAsia"/>
          <w:sz w:val="24"/>
        </w:rPr>
        <w:t>十三、财政拨款“三公”经费支出决算表</w:t>
      </w:r>
      <w:r>
        <w:rPr>
          <w:rFonts w:hint="eastAsia"/>
          <w:sz w:val="24"/>
          <w:lang w:val="en-US" w:eastAsia="zh-CN"/>
        </w:rPr>
        <w:tab/>
      </w:r>
      <w:r>
        <w:rPr>
          <w:rFonts w:hint="eastAsia"/>
          <w:sz w:val="24"/>
          <w:lang w:val="en-US" w:eastAsia="zh-CN"/>
        </w:rPr>
        <w:tab/>
      </w:r>
      <w:bookmarkStart w:id="12" w:name="_Toc15396599"/>
      <w:bookmarkStart w:id="13" w:name="_Toc15377196"/>
      <w:r>
        <w:rPr>
          <w:rFonts w:hint="eastAsia"/>
          <w:sz w:val="24"/>
          <w:lang w:val="en-US" w:eastAsia="zh-CN"/>
        </w:rPr>
        <w:t>23</w:t>
      </w:r>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lang w:eastAsia="zh-CN"/>
        </w:rPr>
        <w:t>一、</w:t>
      </w:r>
      <w:r>
        <w:rPr>
          <w:rStyle w:val="25"/>
          <w:rFonts w:hint="eastAsia" w:ascii="黑体" w:hAnsi="黑体" w:eastAsia="黑体"/>
          <w:b w:val="0"/>
          <w:bCs w:val="0"/>
        </w:rPr>
        <w:t>主要职责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四川驻沪办</w:t>
      </w:r>
      <w:r>
        <w:rPr>
          <w:rFonts w:hint="eastAsia" w:ascii="仿宋_GB2312" w:hAnsi="仿宋_GB2312" w:eastAsia="仿宋_GB2312" w:cs="仿宋_GB2312"/>
          <w:sz w:val="32"/>
          <w:szCs w:val="32"/>
        </w:rPr>
        <w:t>受省政府委托行使职权，负责</w:t>
      </w:r>
      <w:r>
        <w:rPr>
          <w:rFonts w:hint="eastAsia" w:ascii="仿宋_GB2312" w:hAnsi="仿宋_GB2312" w:eastAsia="仿宋_GB2312" w:cs="仿宋_GB2312"/>
          <w:color w:val="000000"/>
          <w:sz w:val="32"/>
          <w:szCs w:val="32"/>
        </w:rPr>
        <w:t>联系上海、江苏、</w:t>
      </w:r>
      <w:r>
        <w:rPr>
          <w:rFonts w:hint="eastAsia" w:ascii="仿宋_GB2312" w:hAnsi="仿宋_GB2312" w:eastAsia="仿宋_GB2312" w:cs="仿宋_GB2312"/>
          <w:sz w:val="32"/>
          <w:szCs w:val="32"/>
        </w:rPr>
        <w:t>浙江、安徽、山东等五省市。</w:t>
      </w:r>
      <w:r>
        <w:rPr>
          <w:rFonts w:hint="eastAsia" w:ascii="黑体" w:hAnsi="黑体" w:eastAsia="黑体" w:cs="黑体"/>
          <w:kern w:val="0"/>
          <w:sz w:val="32"/>
          <w:szCs w:val="32"/>
        </w:rPr>
        <w:t>一是</w:t>
      </w:r>
      <w:r>
        <w:rPr>
          <w:rFonts w:hint="eastAsia" w:ascii="仿宋_GB2312" w:hAnsi="仿宋_GB2312" w:eastAsia="仿宋_GB2312" w:cs="仿宋_GB2312"/>
          <w:kern w:val="0"/>
          <w:sz w:val="32"/>
          <w:szCs w:val="32"/>
        </w:rPr>
        <w:t>促进经济合作。围绕省委、省政府的工作部署和我省经济建设中心工作，组织实施</w:t>
      </w:r>
      <w:r>
        <w:rPr>
          <w:rFonts w:hint="eastAsia" w:ascii="仿宋_GB2312" w:hAnsi="仿宋_GB2312" w:eastAsia="仿宋_GB2312" w:cs="仿宋_GB2312"/>
          <w:sz w:val="32"/>
          <w:szCs w:val="32"/>
        </w:rPr>
        <w:t>充分开放合作战略，推进区域经济合作；加强与所联系区域的重点企业的联系，加强投资意向的收集、分析、对接，</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sz w:val="32"/>
          <w:szCs w:val="32"/>
        </w:rPr>
        <w:t>投资促进工作；配合我省投资促进重大活动，搭建专业化合作平台，为省级部门、市（州）和重点园区开展投资促进活动提供服务；</w:t>
      </w:r>
      <w:r>
        <w:rPr>
          <w:rFonts w:hint="eastAsia" w:ascii="黑体" w:hAnsi="黑体" w:eastAsia="黑体" w:cs="黑体"/>
          <w:kern w:val="0"/>
          <w:sz w:val="32"/>
          <w:szCs w:val="32"/>
        </w:rPr>
        <w:t>二是</w:t>
      </w:r>
      <w:r>
        <w:rPr>
          <w:rFonts w:hint="eastAsia" w:ascii="仿宋_GB2312" w:hAnsi="仿宋_GB2312" w:eastAsia="仿宋_GB2312" w:cs="仿宋_GB2312"/>
          <w:kern w:val="0"/>
          <w:sz w:val="32"/>
          <w:szCs w:val="32"/>
        </w:rPr>
        <w:t>开展政务和信息服务。开展专题调研和信息工作，及时准确向省委、</w:t>
      </w:r>
      <w:r>
        <w:rPr>
          <w:rFonts w:hint="eastAsia" w:ascii="仿宋_GB2312" w:hAnsi="仿宋_GB2312" w:eastAsia="仿宋_GB2312" w:cs="仿宋_GB2312"/>
          <w:sz w:val="32"/>
          <w:szCs w:val="32"/>
        </w:rPr>
        <w:t>省政府及省直有关部门提供联系区域政治、经济、社会信息，为省委、省政府决策提供参考依据；负责与联系区域的党委、政府及有关部门的联系，促进区域间的相互了解和友好往来；参与我省与联系区域之间重大政务活动的组织、协调和服务工作；协助联系区域党组织对我省流动党员的管理和党建工作；指导我省驻外机构、商（协）会工作。</w:t>
      </w:r>
      <w:r>
        <w:rPr>
          <w:rFonts w:hint="eastAsia" w:ascii="黑体" w:hAnsi="黑体" w:eastAsia="黑体" w:cs="黑体"/>
          <w:kern w:val="0"/>
          <w:sz w:val="32"/>
          <w:szCs w:val="32"/>
        </w:rPr>
        <w:t>三是</w:t>
      </w:r>
      <w:r>
        <w:rPr>
          <w:rFonts w:hint="eastAsia" w:ascii="仿宋_GB2312" w:hAnsi="仿宋_GB2312" w:eastAsia="仿宋_GB2312" w:cs="仿宋_GB2312"/>
          <w:kern w:val="0"/>
          <w:sz w:val="32"/>
          <w:szCs w:val="32"/>
        </w:rPr>
        <w:t>承担劳务服务工作。</w:t>
      </w:r>
      <w:r>
        <w:rPr>
          <w:rFonts w:hint="eastAsia" w:ascii="仿宋_GB2312" w:hAnsi="仿宋_GB2312" w:eastAsia="仿宋_GB2312" w:cs="仿宋_GB2312"/>
          <w:sz w:val="32"/>
          <w:szCs w:val="32"/>
        </w:rPr>
        <w:t>承担劳务调研和服务、川籍农民工管理、突发事件处置等工作；维护我省各类组织机构和人员在联系区域的合法权益，协助调解劳务纠纷；参与劳务输出和结构性劳动力回流有关工作；</w:t>
      </w:r>
      <w:r>
        <w:rPr>
          <w:rFonts w:hint="eastAsia" w:ascii="黑体" w:hAnsi="黑体" w:eastAsia="黑体" w:cs="黑体"/>
          <w:kern w:val="0"/>
          <w:sz w:val="32"/>
          <w:szCs w:val="32"/>
        </w:rPr>
        <w:t>四是</w:t>
      </w:r>
      <w:r>
        <w:rPr>
          <w:rFonts w:hint="eastAsia" w:ascii="仿宋_GB2312" w:hAnsi="仿宋_GB2312" w:eastAsia="仿宋_GB2312" w:cs="仿宋_GB2312"/>
          <w:sz w:val="32"/>
          <w:szCs w:val="32"/>
        </w:rPr>
        <w:t>承办省委、省政府和主管部门交办的其他事宜。</w:t>
      </w:r>
    </w:p>
    <w:p>
      <w:pPr>
        <w:pStyle w:val="4"/>
        <w:pageBreakBefore w:val="0"/>
        <w:widowControl w:val="0"/>
        <w:kinsoku/>
        <w:wordWrap/>
        <w:overflowPunct/>
        <w:topLinePunct w:val="0"/>
        <w:autoSpaceDE/>
        <w:autoSpaceDN/>
        <w:bidi w:val="0"/>
        <w:adjustRightInd/>
        <w:spacing w:line="578" w:lineRule="exact"/>
        <w:ind w:firstLine="640" w:firstLineChars="200"/>
        <w:textAlignment w:val="auto"/>
        <w:rPr>
          <w:rFonts w:ascii="黑体" w:hAnsi="黑体" w:eastAsia="黑体"/>
          <w:b w:val="0"/>
        </w:rPr>
      </w:pPr>
      <w:r>
        <w:rPr>
          <w:rFonts w:hint="eastAsia" w:ascii="黑体" w:hAnsi="黑体" w:eastAsia="黑体"/>
          <w:b w:val="0"/>
        </w:rPr>
        <w:t>二、机构设置</w:t>
      </w:r>
    </w:p>
    <w:bookmarkEnd w:id="14"/>
    <w:bookmarkEnd w:id="15"/>
    <w:p>
      <w:pPr>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lang w:eastAsia="zh-CN"/>
        </w:rPr>
        <w:t>四川驻沪办</w:t>
      </w:r>
      <w:r>
        <w:rPr>
          <w:rFonts w:hint="eastAsia" w:ascii="仿宋_GB2312" w:hAnsi="仿宋_GB2312" w:eastAsia="仿宋_GB2312" w:cs="仿宋_GB2312"/>
          <w:sz w:val="32"/>
          <w:szCs w:val="32"/>
        </w:rPr>
        <w:t>为四川省人民政府的派出机构，</w:t>
      </w:r>
      <w:r>
        <w:rPr>
          <w:rFonts w:hint="eastAsia" w:ascii="仿宋_GB2312" w:hAnsi="仿宋_GB2312" w:eastAsia="仿宋_GB2312" w:cs="仿宋_GB2312"/>
          <w:color w:val="000000"/>
          <w:sz w:val="32"/>
          <w:szCs w:val="32"/>
        </w:rPr>
        <w:t>机构规格为副厅级，机构性质为参公管理单位。</w:t>
      </w:r>
      <w:r>
        <w:rPr>
          <w:rFonts w:hint="eastAsia" w:ascii="仿宋_GB2312" w:hAnsi="仿宋_GB2312" w:eastAsia="仿宋_GB2312" w:cs="仿宋_GB2312"/>
          <w:sz w:val="32"/>
          <w:szCs w:val="32"/>
        </w:rPr>
        <w:t>内设秘书处、经济合作处、综合信息处、劳务工作处等</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个处室，无下属单位。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2022年度收、支总计1173.63万元。与2021年相比，收、支总计各减少134.68万元，下降10.29</w:t>
      </w:r>
      <w:r>
        <w:rPr>
          <w:rFonts w:ascii="仿宋" w:hAnsi="仿宋" w:eastAsia="仿宋"/>
          <w:sz w:val="32"/>
          <w:szCs w:val="32"/>
        </w:rPr>
        <w:t>%</w:t>
      </w:r>
      <w:r>
        <w:rPr>
          <w:rFonts w:hint="eastAsia" w:ascii="仿宋" w:hAnsi="仿宋" w:eastAsia="仿宋"/>
          <w:sz w:val="32"/>
          <w:szCs w:val="32"/>
        </w:rPr>
        <w:t>。主要变动原因是省级预算内基本建设资金项目减少。</w:t>
      </w:r>
    </w:p>
    <w:p>
      <w:pPr>
        <w:pStyle w:val="2"/>
        <w:spacing w:before="93"/>
      </w:pPr>
      <w:r>
        <w:drawing>
          <wp:inline distT="0" distB="0" distL="0" distR="0">
            <wp:extent cx="4603750" cy="3091815"/>
            <wp:effectExtent l="0" t="0" r="635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22年本年收入合计1173.63万元，其中：一般公共预算财政拨款收入1173.63万元，占100</w:t>
      </w:r>
      <w:r>
        <w:rPr>
          <w:rFonts w:ascii="仿宋" w:hAnsi="仿宋" w:eastAsia="仿宋"/>
          <w:sz w:val="32"/>
          <w:szCs w:val="32"/>
        </w:rPr>
        <w:t>%</w:t>
      </w:r>
      <w:r>
        <w:rPr>
          <w:rFonts w:hint="eastAsia" w:ascii="仿宋" w:hAnsi="仿宋" w:eastAsia="仿宋"/>
          <w:sz w:val="32"/>
          <w:szCs w:val="32"/>
        </w:rPr>
        <w:t>。</w:t>
      </w:r>
    </w:p>
    <w:p>
      <w:pPr>
        <w:pStyle w:val="2"/>
        <w:spacing w:before="93"/>
        <w:rPr>
          <w:rFonts w:hint="eastAsia" w:eastAsia="仿宋_GB2312"/>
          <w:lang w:val="en-US" w:eastAsia="zh-CN"/>
        </w:rPr>
      </w:pPr>
      <w:r>
        <w:drawing>
          <wp:inline distT="0" distB="0" distL="0" distR="0">
            <wp:extent cx="4643120" cy="2844800"/>
            <wp:effectExtent l="0" t="0" r="508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22年本年支出合计978.81万元，其中：基本支出867.6万元，占88.64</w:t>
      </w:r>
      <w:r>
        <w:rPr>
          <w:rFonts w:ascii="仿宋" w:hAnsi="仿宋" w:eastAsia="仿宋"/>
          <w:sz w:val="32"/>
          <w:szCs w:val="32"/>
        </w:rPr>
        <w:t>%</w:t>
      </w:r>
      <w:r>
        <w:rPr>
          <w:rFonts w:hint="eastAsia" w:ascii="仿宋" w:hAnsi="仿宋" w:eastAsia="仿宋"/>
          <w:sz w:val="32"/>
          <w:szCs w:val="32"/>
        </w:rPr>
        <w:t>；项目支出111.21万元，占11.36</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4651375" cy="2838450"/>
            <wp:effectExtent l="0" t="0" r="1587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22年财政拨款收、支总计1173.63万元。与</w:t>
      </w:r>
      <w:r>
        <w:rPr>
          <w:rFonts w:ascii="仿宋" w:hAnsi="仿宋" w:eastAsia="仿宋"/>
          <w:sz w:val="32"/>
          <w:szCs w:val="32"/>
        </w:rPr>
        <w:t>20</w:t>
      </w:r>
      <w:r>
        <w:rPr>
          <w:rFonts w:hint="eastAsia" w:ascii="仿宋" w:hAnsi="仿宋" w:eastAsia="仿宋"/>
          <w:sz w:val="32"/>
          <w:szCs w:val="32"/>
        </w:rPr>
        <w:t>21年相比，财政拨款收、支总计各减少134.68万元，下降10.29</w:t>
      </w:r>
      <w:r>
        <w:rPr>
          <w:rFonts w:ascii="仿宋" w:hAnsi="仿宋" w:eastAsia="仿宋"/>
          <w:sz w:val="32"/>
          <w:szCs w:val="32"/>
        </w:rPr>
        <w:t>%</w:t>
      </w:r>
      <w:r>
        <w:rPr>
          <w:rFonts w:hint="eastAsia" w:ascii="仿宋" w:hAnsi="仿宋" w:eastAsia="仿宋"/>
          <w:sz w:val="32"/>
          <w:szCs w:val="32"/>
        </w:rPr>
        <w:t>。主要变动原因是省级预算内基本建设资金项目减少。</w:t>
      </w:r>
    </w:p>
    <w:p>
      <w:pPr>
        <w:pStyle w:val="2"/>
        <w:spacing w:before="93"/>
      </w:pPr>
      <w:r>
        <w:drawing>
          <wp:inline distT="0" distB="0" distL="0" distR="0">
            <wp:extent cx="4794250" cy="2844800"/>
            <wp:effectExtent l="0" t="0" r="635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22年一般公共预算财政拨款支出978.81万元，占本年支出合计的100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21年相比，一般公共预算财政拨款支出减少253.68万元，下降20.58</w:t>
      </w:r>
      <w:r>
        <w:rPr>
          <w:rFonts w:ascii="仿宋" w:hAnsi="仿宋" w:eastAsia="仿宋"/>
          <w:sz w:val="32"/>
          <w:szCs w:val="32"/>
        </w:rPr>
        <w:t>%</w:t>
      </w:r>
      <w:r>
        <w:rPr>
          <w:rFonts w:hint="eastAsia" w:ascii="仿宋" w:hAnsi="仿宋" w:eastAsia="仿宋"/>
          <w:sz w:val="32"/>
          <w:szCs w:val="32"/>
        </w:rPr>
        <w:t>。主要变动原因是2022年减少了办公楼维修专项经费支出、部分招商引资项目受新冠肺炎疫情影响</w:t>
      </w:r>
      <w:r>
        <w:rPr>
          <w:rFonts w:hint="eastAsia" w:ascii="仿宋" w:hAnsi="仿宋" w:eastAsia="仿宋"/>
          <w:sz w:val="32"/>
          <w:szCs w:val="32"/>
          <w:lang w:val="en-US" w:eastAsia="zh-CN"/>
        </w:rPr>
        <w:t>支出减少</w:t>
      </w:r>
      <w:r>
        <w:rPr>
          <w:rFonts w:hint="eastAsia" w:ascii="仿宋" w:hAnsi="仿宋" w:eastAsia="仿宋"/>
          <w:sz w:val="32"/>
          <w:szCs w:val="32"/>
        </w:rPr>
        <w:t>。</w:t>
      </w:r>
    </w:p>
    <w:p>
      <w:pPr>
        <w:pStyle w:val="2"/>
        <w:spacing w:before="93"/>
      </w:pPr>
      <w:r>
        <w:drawing>
          <wp:inline distT="0" distB="0" distL="0" distR="0">
            <wp:extent cx="4794250" cy="2844800"/>
            <wp:effectExtent l="0" t="0" r="635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bookmarkStart w:id="30" w:name="OLE_LINK1"/>
      <w:r>
        <w:rPr>
          <w:rFonts w:hint="eastAsia" w:ascii="仿宋" w:hAnsi="仿宋" w:eastAsia="仿宋"/>
          <w:sz w:val="32"/>
          <w:szCs w:val="32"/>
        </w:rPr>
        <w:t>978.81</w:t>
      </w:r>
      <w:bookmarkEnd w:id="30"/>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bookmarkStart w:id="31" w:name="OLE_LINK2"/>
      <w:r>
        <w:rPr>
          <w:rFonts w:hint="eastAsia" w:ascii="仿宋" w:hAnsi="仿宋" w:eastAsia="仿宋"/>
          <w:sz w:val="32"/>
          <w:szCs w:val="32"/>
        </w:rPr>
        <w:t>774.47</w:t>
      </w:r>
      <w:bookmarkEnd w:id="31"/>
      <w:r>
        <w:rPr>
          <w:rFonts w:hint="eastAsia" w:ascii="仿宋" w:hAnsi="仿宋" w:eastAsia="仿宋"/>
          <w:sz w:val="32"/>
          <w:szCs w:val="32"/>
        </w:rPr>
        <w:t>万元，占79.13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bookmarkStart w:id="32" w:name="OLE_LINK3"/>
      <w:r>
        <w:rPr>
          <w:rFonts w:hint="eastAsia" w:ascii="仿宋" w:hAnsi="仿宋" w:eastAsia="仿宋"/>
          <w:sz w:val="32"/>
          <w:szCs w:val="32"/>
        </w:rPr>
        <w:t>135.16</w:t>
      </w:r>
      <w:bookmarkEnd w:id="32"/>
      <w:r>
        <w:rPr>
          <w:rFonts w:hint="eastAsia" w:ascii="仿宋" w:hAnsi="仿宋" w:eastAsia="仿宋"/>
          <w:sz w:val="32"/>
          <w:szCs w:val="32"/>
        </w:rPr>
        <w:t>万元，占13.81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bookmarkStart w:id="33" w:name="OLE_LINK4"/>
      <w:r>
        <w:rPr>
          <w:rFonts w:hint="eastAsia" w:ascii="仿宋" w:hAnsi="仿宋" w:eastAsia="仿宋"/>
          <w:sz w:val="32"/>
          <w:szCs w:val="32"/>
        </w:rPr>
        <w:t>36.74</w:t>
      </w:r>
      <w:bookmarkEnd w:id="33"/>
      <w:r>
        <w:rPr>
          <w:rFonts w:hint="eastAsia" w:ascii="仿宋" w:hAnsi="仿宋" w:eastAsia="仿宋"/>
          <w:sz w:val="32"/>
          <w:szCs w:val="32"/>
        </w:rPr>
        <w:t>万元，占3.75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bookmarkStart w:id="34" w:name="OLE_LINK5"/>
      <w:r>
        <w:rPr>
          <w:rFonts w:hint="eastAsia" w:ascii="仿宋" w:hAnsi="仿宋" w:eastAsia="仿宋"/>
          <w:sz w:val="32"/>
          <w:szCs w:val="32"/>
        </w:rPr>
        <w:t>32.44</w:t>
      </w:r>
      <w:bookmarkEnd w:id="34"/>
      <w:r>
        <w:rPr>
          <w:rFonts w:hint="eastAsia" w:ascii="仿宋" w:hAnsi="仿宋" w:eastAsia="仿宋"/>
          <w:sz w:val="32"/>
          <w:szCs w:val="32"/>
        </w:rPr>
        <w:t>万元，占3.31</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4667250" cy="28384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ind w:firstLine="642" w:firstLineChars="200"/>
        <w:rPr>
          <w:rFonts w:ascii="仿宋" w:hAnsi="仿宋" w:eastAsia="仿宋"/>
          <w:sz w:val="32"/>
          <w:szCs w:val="32"/>
        </w:rPr>
      </w:pPr>
      <w:bookmarkStart w:id="36" w:name="_Toc15377444"/>
      <w:bookmarkStart w:id="37" w:name="_Toc15378460"/>
      <w:bookmarkStart w:id="38" w:name="_Toc15377213"/>
      <w:r>
        <w:rPr>
          <w:rFonts w:hint="eastAsia" w:ascii="仿宋" w:hAnsi="仿宋" w:eastAsia="仿宋"/>
          <w:b/>
          <w:sz w:val="32"/>
          <w:szCs w:val="32"/>
        </w:rPr>
        <w:t>2022年一般公共预算支出决算数为978.81</w:t>
      </w:r>
      <w:r>
        <w:rPr>
          <w:rFonts w:hint="eastAsia" w:ascii="仿宋" w:hAnsi="仿宋" w:eastAsia="仿宋"/>
          <w:sz w:val="32"/>
          <w:szCs w:val="32"/>
        </w:rPr>
        <w:t>，</w:t>
      </w:r>
      <w:r>
        <w:rPr>
          <w:rStyle w:val="14"/>
          <w:rFonts w:hint="eastAsia" w:ascii="仿宋" w:hAnsi="仿宋" w:eastAsia="仿宋"/>
          <w:bCs/>
          <w:sz w:val="32"/>
          <w:szCs w:val="32"/>
        </w:rPr>
        <w:t>完成预算83.4</w:t>
      </w:r>
      <w:r>
        <w:rPr>
          <w:rStyle w:val="14"/>
          <w:rFonts w:ascii="仿宋" w:hAnsi="仿宋" w:eastAsia="仿宋"/>
          <w:bCs/>
          <w:sz w:val="32"/>
          <w:szCs w:val="32"/>
        </w:rPr>
        <w:t>%</w:t>
      </w:r>
      <w:r>
        <w:rPr>
          <w:rStyle w:val="14"/>
          <w:rFonts w:hint="eastAsia" w:ascii="仿宋" w:hAnsi="仿宋" w:eastAsia="仿宋"/>
          <w:bCs/>
          <w:sz w:val="32"/>
          <w:szCs w:val="32"/>
        </w:rPr>
        <w:t>。其中：</w:t>
      </w:r>
      <w:bookmarkEnd w:id="36"/>
      <w:bookmarkEnd w:id="37"/>
      <w:bookmarkEnd w:id="38"/>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一般公共服务（类）商贸事务（款）行政运行（项）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支出决算为663.26万元，完成预算85.95</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w:t>
      </w:r>
      <w:r>
        <w:rPr>
          <w:rFonts w:hint="eastAsia" w:ascii="仿宋" w:hAnsi="仿宋" w:eastAsia="仿宋"/>
          <w:sz w:val="32"/>
          <w:szCs w:val="32"/>
        </w:rPr>
        <w:t>受新冠肺炎疫情影响一般性支出减少</w:t>
      </w:r>
      <w:r>
        <w:rPr>
          <w:rStyle w:val="14"/>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一般公共服务（类）商贸事务（款）一般行政管理事务（项）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支出决算为87.67万元，完成预算94.63</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，决算数小于预算数的主要原因是厉行节约压减部分项目支出。</w:t>
      </w:r>
    </w:p>
    <w:p>
      <w:pPr>
        <w:spacing w:line="600" w:lineRule="exact"/>
        <w:ind w:firstLine="642" w:firstLineChars="200"/>
        <w:rPr>
          <w:rFonts w:ascii="仿宋" w:hAnsi="仿宋" w:eastAsia="仿宋"/>
          <w:sz w:val="32"/>
          <w:szCs w:val="32"/>
        </w:rPr>
      </w:pPr>
      <w:r>
        <w:rPr>
          <w:rStyle w:val="14"/>
          <w:rFonts w:ascii="仿宋" w:hAnsi="仿宋" w:eastAsia="仿宋"/>
          <w:bCs/>
          <w:sz w:val="32"/>
          <w:szCs w:val="32"/>
        </w:rPr>
        <w:t>3.</w:t>
      </w:r>
      <w:r>
        <w:rPr>
          <w:rStyle w:val="14"/>
          <w:rFonts w:hint="eastAsia" w:ascii="仿宋" w:hAnsi="仿宋" w:eastAsia="仿宋"/>
          <w:bCs/>
          <w:sz w:val="32"/>
          <w:szCs w:val="32"/>
        </w:rPr>
        <w:t>一般公共服务（类）商贸事务（款）招商引资（项）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支出决算为23.54万元，完成预算46.16</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w:t>
      </w:r>
      <w:r>
        <w:rPr>
          <w:rFonts w:hint="eastAsia" w:ascii="仿宋" w:hAnsi="仿宋" w:eastAsia="仿宋"/>
          <w:sz w:val="32"/>
          <w:szCs w:val="32"/>
        </w:rPr>
        <w:t>部分招商引资项目受新冠肺炎疫情影响</w:t>
      </w:r>
      <w:r>
        <w:rPr>
          <w:rFonts w:hint="eastAsia" w:ascii="仿宋" w:hAnsi="仿宋" w:eastAsia="仿宋"/>
          <w:sz w:val="32"/>
          <w:szCs w:val="32"/>
          <w:lang w:val="en-US" w:eastAsia="zh-CN"/>
        </w:rPr>
        <w:t>支出减少</w:t>
      </w:r>
      <w:r>
        <w:rPr>
          <w:rFonts w:hint="eastAsia" w:ascii="仿宋" w:hAnsi="仿宋" w:eastAsia="仿宋"/>
          <w:sz w:val="32"/>
          <w:szCs w:val="32"/>
        </w:rPr>
        <w:t>。</w:t>
      </w:r>
    </w:p>
    <w:p>
      <w:pPr>
        <w:spacing w:line="600" w:lineRule="exact"/>
        <w:ind w:firstLine="642"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社会保障和就业（类）行政事业单位养老支出（款）行政事业离退休（项）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支出决算为96.24万元，完成预算99.6</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，决算数小于预算数的主要原因是缴费人员变化。</w:t>
      </w:r>
    </w:p>
    <w:p>
      <w:pPr>
        <w:spacing w:line="600" w:lineRule="exact"/>
        <w:ind w:firstLine="642" w:firstLineChars="200"/>
        <w:rPr>
          <w:rStyle w:val="14"/>
          <w:rFonts w:ascii="仿宋" w:hAnsi="仿宋" w:eastAsia="仿宋"/>
          <w:b w:val="0"/>
          <w:bCs/>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支出决算为2.31万元，完成预算100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sz w:val="32"/>
          <w:szCs w:val="32"/>
        </w:rPr>
        <w:t>6.</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支出决算为36.61万元，完成预算58.58</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，决算数小于预算数的主要原因是缴费人员变化。</w:t>
      </w:r>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支出决算为29.75万元，完成预算81</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，决算数小于预算数的主要原因是缴费人员变化。</w:t>
      </w:r>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bCs/>
          <w:sz w:val="32"/>
          <w:szCs w:val="32"/>
        </w:rPr>
        <w:t>8</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支出决算为6.99万元，完成预算97.38</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，决算数小于预算数的主要原因是缴费人员变化。</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rPr>
        <w:t>9</w:t>
      </w:r>
      <w:r>
        <w:rPr>
          <w:rStyle w:val="14"/>
          <w:rFonts w:ascii="仿宋" w:hAnsi="仿宋" w:eastAsia="仿宋"/>
          <w:bCs/>
          <w:sz w:val="32"/>
          <w:szCs w:val="32"/>
        </w:rPr>
        <w:t>.</w:t>
      </w:r>
      <w:r>
        <w:rPr>
          <w:rFonts w:hint="eastAsia" w:ascii="仿宋" w:hAnsi="仿宋" w:eastAsia="仿宋"/>
          <w:b/>
          <w:bCs/>
          <w:sz w:val="32"/>
          <w:szCs w:val="32"/>
        </w:rPr>
        <w:t>住房保障</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支出决算为32.44万元，完成预算61.21</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，决算数小于预算数的主要原因是缴费人员变化。</w:t>
      </w:r>
    </w:p>
    <w:p>
      <w:pPr>
        <w:tabs>
          <w:tab w:val="right" w:pos="8306"/>
        </w:tabs>
        <w:spacing w:line="600" w:lineRule="exact"/>
        <w:ind w:firstLine="640"/>
        <w:outlineLvl w:val="1"/>
        <w:rPr>
          <w:rStyle w:val="25"/>
        </w:rPr>
      </w:pPr>
      <w:bookmarkStart w:id="39" w:name="_Toc15377214"/>
      <w:bookmarkStart w:id="4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9"/>
      <w:bookmarkEnd w:id="40"/>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22年一般公共预算财政拨款基本支出867.6万元，其中：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667.55万元，主要包括：基本工资、津贴补贴、奖金、伙食补助费、绩效工资、机关事业单位基本养老保险缴费、职业年金缴费、其他社会保障缴费、其他工资福利支出、离休费、退休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公用经费200.05万元，主要包括：办公费、印刷费、咨询费、手续费、水费、电费、邮电费</w:t>
      </w:r>
      <w:bookmarkStart w:id="73" w:name="_GoBack"/>
      <w:bookmarkEnd w:id="73"/>
      <w:r>
        <w:rPr>
          <w:rFonts w:hint="eastAsia" w:ascii="仿宋" w:hAnsi="仿宋" w:eastAsia="仿宋"/>
          <w:sz w:val="32"/>
          <w:szCs w:val="32"/>
        </w:rPr>
        <w:t>、物业管理费、差旅费、维修（护）费、租赁费、会议费、培训费、公务接待费、劳务费、委托业务费、工会经费、福利费、公务用车运行维护费、其他交通费、其他商品和服务支出、办公设备购置等。</w:t>
      </w:r>
    </w:p>
    <w:p>
      <w:pPr>
        <w:spacing w:line="600" w:lineRule="exact"/>
        <w:ind w:firstLine="640"/>
        <w:outlineLvl w:val="1"/>
        <w:rPr>
          <w:rStyle w:val="25"/>
          <w:rFonts w:ascii="黑体" w:hAnsi="黑体" w:eastAsia="黑体"/>
          <w:b w:val="0"/>
        </w:rPr>
      </w:pPr>
      <w:bookmarkStart w:id="41" w:name="_Toc15377215"/>
      <w:bookmarkStart w:id="42"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22年“三公”经费财政拨款支出决算为32.95万元，完成预算70.11</w:t>
      </w:r>
      <w:r>
        <w:rPr>
          <w:rFonts w:ascii="仿宋" w:hAnsi="仿宋" w:eastAsia="仿宋"/>
          <w:sz w:val="32"/>
          <w:szCs w:val="32"/>
        </w:rPr>
        <w:t>%</w:t>
      </w:r>
      <w:r>
        <w:rPr>
          <w:rFonts w:hint="eastAsia" w:ascii="仿宋" w:hAnsi="仿宋" w:eastAsia="仿宋"/>
          <w:sz w:val="32"/>
          <w:szCs w:val="32"/>
        </w:rPr>
        <w:t>，较上年减少23.67万元，下降41.81%。决算数小于预算数的主要原因是受新冠肺炎影响压减三公经费支出。</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；公务用车购置及运行维护费支出决算13.57万元，占41.18</w:t>
      </w:r>
      <w:r>
        <w:rPr>
          <w:rFonts w:ascii="仿宋" w:hAnsi="仿宋" w:eastAsia="仿宋"/>
          <w:sz w:val="32"/>
          <w:szCs w:val="32"/>
        </w:rPr>
        <w:t>%</w:t>
      </w:r>
      <w:r>
        <w:rPr>
          <w:rFonts w:hint="eastAsia" w:ascii="仿宋" w:hAnsi="仿宋" w:eastAsia="仿宋"/>
          <w:sz w:val="32"/>
          <w:szCs w:val="32"/>
        </w:rPr>
        <w:t>；公务接待费支出决算</w:t>
      </w:r>
      <w:bookmarkStart w:id="45" w:name="OLE_LINK6"/>
      <w:r>
        <w:rPr>
          <w:rFonts w:hint="eastAsia" w:ascii="仿宋" w:hAnsi="仿宋" w:eastAsia="仿宋"/>
          <w:sz w:val="32"/>
          <w:szCs w:val="32"/>
        </w:rPr>
        <w:t>19.38</w:t>
      </w:r>
      <w:bookmarkEnd w:id="45"/>
      <w:r>
        <w:rPr>
          <w:rFonts w:hint="eastAsia" w:ascii="仿宋" w:hAnsi="仿宋" w:eastAsia="仿宋"/>
          <w:sz w:val="32"/>
          <w:szCs w:val="32"/>
        </w:rPr>
        <w:t>万元，占58.82</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5073650" cy="2838450"/>
            <wp:effectExtent l="0" t="0" r="1270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spacing w:line="600" w:lineRule="exact"/>
        <w:ind w:firstLine="642" w:firstLineChars="200"/>
        <w:rPr>
          <w:rFonts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13.57万元,</w:t>
      </w:r>
      <w:r>
        <w:rPr>
          <w:rStyle w:val="14"/>
          <w:rFonts w:hint="eastAsia" w:ascii="仿宋" w:hAnsi="仿宋" w:eastAsia="仿宋"/>
          <w:b w:val="0"/>
          <w:bCs/>
          <w:sz w:val="32"/>
          <w:szCs w:val="32"/>
        </w:rPr>
        <w:t>完成预算90.47</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21年减少3.68万元，下降21.33</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受新冠肺炎影响减少公务用车运行维护费支出。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月底，单位共有公务用车6辆，其中：轿车3辆、越野车1辆、商务车1辆、载客汽车1辆。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13.57万元。主要用于单位开展招商引资、劳务慰问工作等所需的公务用车燃料费、维修费、过路过桥费、保险费等支出。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19.38万元，</w:t>
      </w:r>
      <w:r>
        <w:rPr>
          <w:rStyle w:val="14"/>
          <w:rFonts w:hint="eastAsia" w:ascii="仿宋" w:hAnsi="仿宋" w:eastAsia="仿宋"/>
          <w:b w:val="0"/>
          <w:bCs/>
          <w:sz w:val="32"/>
          <w:szCs w:val="32"/>
        </w:rPr>
        <w:t>完成预算60.56</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21年减少19.99万元，下降50.77</w:t>
      </w:r>
      <w:r>
        <w:rPr>
          <w:rFonts w:ascii="仿宋_GB2312" w:eastAsia="仿宋_GB2312"/>
          <w:sz w:val="32"/>
          <w:szCs w:val="32"/>
        </w:rPr>
        <w:t>%</w:t>
      </w:r>
      <w:r>
        <w:rPr>
          <w:rFonts w:hint="eastAsia" w:ascii="仿宋_GB2312" w:eastAsia="仿宋_GB2312"/>
          <w:sz w:val="32"/>
          <w:szCs w:val="32"/>
        </w:rPr>
        <w:t>。主要原因一是</w:t>
      </w:r>
      <w:r>
        <w:rPr>
          <w:rFonts w:hint="eastAsia" w:ascii="仿宋" w:hAnsi="仿宋" w:eastAsia="仿宋"/>
          <w:sz w:val="32"/>
          <w:szCs w:val="32"/>
        </w:rPr>
        <w:t>受新冠肺炎影响，招商引资接待工作减少；二是厉行节约压减公务接待费支出。</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19.38</w:t>
      </w:r>
      <w:r>
        <w:rPr>
          <w:rFonts w:hint="eastAsia" w:ascii="仿宋_GB2312" w:eastAsia="仿宋_GB2312"/>
          <w:sz w:val="32"/>
          <w:szCs w:val="32"/>
        </w:rPr>
        <w:t>万元，主要用于投资促进活动、执行公务、开展业务活动开支的交通费、住宿费、用餐费等。国内公务接待77批次，775人次（不包括陪同人员），共计支出19.38万元，具体内容包括：举办2022年中外企业四川行等系列投资促进活动，以及川商返乡开展投资促进活动的客商接待。</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firstLineChars="200"/>
        <w:outlineLvl w:val="1"/>
        <w:rPr>
          <w:rStyle w:val="25"/>
          <w:rFonts w:ascii="黑体" w:hAnsi="黑体" w:eastAsia="黑体"/>
        </w:rPr>
      </w:pPr>
      <w:bookmarkStart w:id="46" w:name="_Toc15396610"/>
      <w:bookmarkStart w:id="47"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50" w:name="_Toc15377221"/>
      <w:bookmarkStart w:id="51" w:name="_Toc15396612"/>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22年，四川驻沪办机关运行经费支出200.06万元，比</w:t>
      </w:r>
      <w:r>
        <w:rPr>
          <w:rFonts w:ascii="仿宋_GB2312" w:eastAsia="仿宋_GB2312"/>
          <w:sz w:val="32"/>
          <w:szCs w:val="32"/>
        </w:rPr>
        <w:t>20</w:t>
      </w:r>
      <w:r>
        <w:rPr>
          <w:rFonts w:hint="eastAsia" w:ascii="仿宋_GB2312" w:eastAsia="仿宋_GB2312"/>
          <w:sz w:val="32"/>
          <w:szCs w:val="32"/>
        </w:rPr>
        <w:t>21年减少25.83万元，下降11.43</w:t>
      </w:r>
      <w:r>
        <w:rPr>
          <w:rFonts w:ascii="仿宋_GB2312" w:eastAsia="仿宋_GB2312"/>
          <w:sz w:val="32"/>
          <w:szCs w:val="32"/>
        </w:rPr>
        <w:t>%</w:t>
      </w:r>
      <w:r>
        <w:rPr>
          <w:rFonts w:hint="eastAsia" w:ascii="仿宋_GB2312" w:eastAsia="仿宋_GB2312"/>
          <w:sz w:val="32"/>
          <w:szCs w:val="32"/>
        </w:rPr>
        <w:t>。主要原因是厉行节约压减一般性支出。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四川驻沪办政府采购支出总额29.52万元，其中：政府采购货物支出16.52万元、政府采购工程支出0万元、政府采购服务支出13万元。主要用于办公设备采购支出、办公楼维修维护支出、开展招商引资和劳务慰问等工作需要的车辆维修保养、燃油费、保险费等服务支出。授予中小企业合同金额16.52万元，占政府采购支出总额的55.96</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日，四川驻沪办共有车辆6辆，其中：主要领导干部用车0辆、机要通信用车1辆、应急保障用车4辆、离退休干部用车1辆。单价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根据预算绩效管理要求，本单位在2022年度预算编制阶段，对</w:t>
      </w:r>
      <w:r>
        <w:rPr>
          <w:rFonts w:hint="eastAsia" w:hAnsi="仿宋_GB2312" w:cs="仿宋_GB2312"/>
          <w:sz w:val="32"/>
          <w:szCs w:val="32"/>
          <w:lang w:val="en-US" w:eastAsia="zh-CN"/>
        </w:rPr>
        <w:t>1</w:t>
      </w:r>
      <w:r>
        <w:rPr>
          <w:rFonts w:hint="eastAsia" w:hAnsi="仿宋_GB2312" w:cs="仿宋_GB2312"/>
          <w:sz w:val="32"/>
          <w:szCs w:val="32"/>
        </w:rPr>
        <w:t>3个项目编制了绩效目标，预算执行过程中，选取</w:t>
      </w:r>
      <w:r>
        <w:rPr>
          <w:rFonts w:hint="eastAsia" w:hAnsi="仿宋_GB2312" w:cs="仿宋_GB2312"/>
          <w:sz w:val="32"/>
          <w:szCs w:val="32"/>
          <w:lang w:val="en-US" w:eastAsia="zh-CN"/>
        </w:rPr>
        <w:t>1</w:t>
      </w:r>
      <w:r>
        <w:rPr>
          <w:rFonts w:hint="eastAsia" w:hAnsi="仿宋_GB2312" w:cs="仿宋_GB2312"/>
          <w:sz w:val="32"/>
          <w:szCs w:val="32"/>
        </w:rPr>
        <w:t>3个项目开展绩效监控，组织对3个项目开展绩效自评，2022年部门预算项目绩效自评表详见第四部分附件。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sz w:val="44"/>
          <w:szCs w:val="44"/>
        </w:rPr>
      </w:pPr>
    </w:p>
    <w:p>
      <w:pPr>
        <w:spacing w:line="600" w:lineRule="exact"/>
        <w:ind w:firstLine="640"/>
        <w:rPr>
          <w:rFonts w:eastAsia="仿宋_GB2312"/>
          <w:sz w:val="32"/>
          <w:szCs w:val="32"/>
        </w:rPr>
      </w:pPr>
      <w:r>
        <w:rPr>
          <w:rFonts w:eastAsia="仿宋_GB2312"/>
          <w:sz w:val="32"/>
          <w:szCs w:val="32"/>
        </w:rPr>
        <w:t>1.</w:t>
      </w:r>
      <w:r>
        <w:rPr>
          <w:rFonts w:hint="eastAsia" w:eastAsia="仿宋_GB2312"/>
          <w:sz w:val="32"/>
          <w:szCs w:val="32"/>
        </w:rPr>
        <w:t>财政拨款收入：指单位从同级财政部门取得的财政预算资金。</w:t>
      </w:r>
    </w:p>
    <w:p>
      <w:pPr>
        <w:spacing w:line="600" w:lineRule="exact"/>
        <w:ind w:firstLine="64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年初结转和结余：指以前年度尚未完成、结转到本年按有关规定继续使用的资金。</w:t>
      </w:r>
    </w:p>
    <w:p>
      <w:pPr>
        <w:spacing w:line="600" w:lineRule="exact"/>
        <w:ind w:firstLine="64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结余分配：指事业单位按照会计制度规定缴纳的所得税、提取的专用结余以及转入非财政拨款结余的金额等。</w:t>
      </w:r>
    </w:p>
    <w:p>
      <w:pPr>
        <w:spacing w:line="600" w:lineRule="exact"/>
        <w:ind w:firstLine="640"/>
        <w:rPr>
          <w:rFonts w:eastAsia="仿宋_GB2312"/>
          <w:sz w:val="32"/>
          <w:szCs w:val="32"/>
        </w:rPr>
      </w:pPr>
      <w:r>
        <w:rPr>
          <w:rFonts w:hint="eastAsia" w:eastAsia="仿宋_GB2312"/>
          <w:sz w:val="32"/>
          <w:szCs w:val="32"/>
        </w:rPr>
        <w:t>4.年末结转和结余：指单位按有关规定结转到下年或以后年度继续使用的资金。</w:t>
      </w:r>
    </w:p>
    <w:p>
      <w:pPr>
        <w:spacing w:line="600" w:lineRule="exact"/>
        <w:ind w:firstLine="640"/>
        <w:rPr>
          <w:rFonts w:eastAsia="仿宋_GB2312"/>
          <w:sz w:val="32"/>
          <w:szCs w:val="32"/>
        </w:rPr>
      </w:pPr>
      <w:r>
        <w:rPr>
          <w:rFonts w:eastAsia="仿宋_GB2312"/>
          <w:sz w:val="32"/>
          <w:szCs w:val="32"/>
        </w:rPr>
        <w:t>5.一般公共服务（类）商贸事务（款）行政运行（项）: 指用于保障机构正常运行、开展日常工作的基本支出。</w:t>
      </w:r>
    </w:p>
    <w:p>
      <w:pPr>
        <w:spacing w:line="600" w:lineRule="exact"/>
        <w:ind w:firstLine="640"/>
        <w:rPr>
          <w:rFonts w:eastAsia="仿宋_GB2312"/>
          <w:sz w:val="32"/>
          <w:szCs w:val="32"/>
        </w:rPr>
      </w:pPr>
      <w:r>
        <w:rPr>
          <w:rFonts w:eastAsia="仿宋_GB2312"/>
          <w:sz w:val="32"/>
          <w:szCs w:val="32"/>
        </w:rPr>
        <w:t>6.一般公共服务（类）商贸事务（款）一般行政管理事务（项）: 指反映行政单位（包括实行公务员管理的事业单位）未单独设置项级科目的其他项目支出。</w:t>
      </w:r>
    </w:p>
    <w:p>
      <w:pPr>
        <w:spacing w:line="600" w:lineRule="exact"/>
        <w:ind w:firstLine="640"/>
        <w:rPr>
          <w:rFonts w:eastAsia="仿宋_GB2312"/>
          <w:sz w:val="32"/>
          <w:szCs w:val="32"/>
        </w:rPr>
      </w:pPr>
      <w:r>
        <w:rPr>
          <w:rFonts w:eastAsia="仿宋_GB2312"/>
          <w:sz w:val="32"/>
          <w:szCs w:val="32"/>
        </w:rPr>
        <w:t>7.一般公共服务（类）商贸事务（款）招商引资（项）: 指反映用于招商引资、优化经济环境等方面的支出。</w:t>
      </w:r>
    </w:p>
    <w:p>
      <w:pPr>
        <w:spacing w:line="600" w:lineRule="exact"/>
        <w:ind w:firstLine="640"/>
        <w:rPr>
          <w:rFonts w:eastAsia="仿宋_GB2312"/>
          <w:sz w:val="32"/>
          <w:szCs w:val="32"/>
        </w:rPr>
      </w:pPr>
      <w:r>
        <w:rPr>
          <w:rFonts w:hint="eastAsia" w:eastAsia="仿宋_GB2312"/>
          <w:sz w:val="32"/>
          <w:szCs w:val="32"/>
        </w:rPr>
        <w:t>8.社会保障和就业（类）行政事业单位养老支出（款）未归口管理的行政单位离退休（项）: 指反映未实行归口管理的行政单位（包括实行公务员管理的事业单位）开支的离退休支出。</w:t>
      </w:r>
    </w:p>
    <w:p>
      <w:pPr>
        <w:spacing w:line="600" w:lineRule="exact"/>
        <w:ind w:firstLine="640"/>
        <w:rPr>
          <w:rFonts w:eastAsia="仿宋_GB2312"/>
          <w:sz w:val="32"/>
          <w:szCs w:val="32"/>
        </w:rPr>
      </w:pPr>
      <w:r>
        <w:rPr>
          <w:rFonts w:hint="eastAsia" w:eastAsia="仿宋_GB2312"/>
          <w:sz w:val="32"/>
          <w:szCs w:val="32"/>
        </w:rPr>
        <w:t>9.社会保障和就业（类）行政事业单位养老支出（款）机关事业单位基本养老保险缴费支出（项）: 指反映机关事业单位实施养老保险制度由单位缴纳的基本保险费支出。</w:t>
      </w:r>
    </w:p>
    <w:p>
      <w:pPr>
        <w:spacing w:line="600" w:lineRule="exact"/>
        <w:ind w:firstLine="640"/>
        <w:rPr>
          <w:rFonts w:eastAsia="仿宋_GB2312"/>
          <w:sz w:val="32"/>
          <w:szCs w:val="32"/>
        </w:rPr>
      </w:pPr>
      <w:r>
        <w:rPr>
          <w:rFonts w:hint="eastAsia" w:eastAsia="仿宋_GB2312"/>
          <w:sz w:val="32"/>
          <w:szCs w:val="32"/>
        </w:rPr>
        <w:t>10.卫生健康支出（类）行政事业单位医疗（款）行政单位医疗（项）: 指反映财政部门集中安排的行政单位基本医疗保险缴费经费，未参加医疗保险的行政单位的公费医疗经费，按国家规定享受离休人员、红军老战士待遇人员的医疗经费。</w:t>
      </w:r>
    </w:p>
    <w:p>
      <w:pPr>
        <w:spacing w:line="600" w:lineRule="exact"/>
        <w:ind w:firstLine="640"/>
        <w:rPr>
          <w:rFonts w:eastAsia="仿宋_GB2312"/>
          <w:sz w:val="32"/>
          <w:szCs w:val="32"/>
        </w:rPr>
      </w:pPr>
      <w:r>
        <w:rPr>
          <w:rFonts w:hint="eastAsia" w:eastAsia="仿宋_GB2312"/>
          <w:sz w:val="32"/>
          <w:szCs w:val="32"/>
        </w:rPr>
        <w:t>11.卫生健康支出（类）行政事业单位医疗（款）事业单位医疗（项）: 指反映财政部门集中安排的事业单位基本医疗保险缴费经费，未参加医疗保险的事业单位的公费医疗经费，按国家规定享受离休人员待遇的医疗经费。</w:t>
      </w:r>
    </w:p>
    <w:p>
      <w:pPr>
        <w:spacing w:line="600" w:lineRule="exact"/>
        <w:ind w:firstLine="640"/>
        <w:rPr>
          <w:rFonts w:eastAsia="仿宋_GB2312"/>
          <w:sz w:val="32"/>
          <w:szCs w:val="32"/>
        </w:rPr>
      </w:pPr>
      <w:r>
        <w:rPr>
          <w:rFonts w:hint="eastAsia" w:eastAsia="仿宋_GB2312"/>
          <w:sz w:val="32"/>
          <w:szCs w:val="32"/>
        </w:rPr>
        <w:t>12.卫生健康支出（类）行政事业单位医疗（款）公务员医疗补助（项）: 指反映财政部门集中安排的公务员医疗补助经费。</w:t>
      </w:r>
    </w:p>
    <w:p>
      <w:pPr>
        <w:spacing w:line="600" w:lineRule="exact"/>
        <w:ind w:firstLine="640"/>
        <w:rPr>
          <w:rFonts w:eastAsia="仿宋_GB2312"/>
          <w:sz w:val="32"/>
          <w:szCs w:val="32"/>
        </w:rPr>
      </w:pPr>
      <w:r>
        <w:rPr>
          <w:rFonts w:hint="eastAsia" w:eastAsia="仿宋_GB2312"/>
          <w:sz w:val="32"/>
          <w:szCs w:val="32"/>
        </w:rPr>
        <w:t>13.住房保障支出（类）住房改革（款）住房公积金（项）: 指反映行政事业单位按人力资源和社会保障部、财政部规定的基本工资和津贴补贴以及规定比例为职工缴纳的住房公积金。</w:t>
      </w:r>
    </w:p>
    <w:p>
      <w:pPr>
        <w:spacing w:line="600" w:lineRule="exact"/>
        <w:ind w:firstLine="640"/>
        <w:rPr>
          <w:rFonts w:eastAsia="仿宋_GB2312"/>
          <w:sz w:val="32"/>
          <w:szCs w:val="32"/>
        </w:rPr>
      </w:pPr>
      <w:r>
        <w:rPr>
          <w:rFonts w:hint="eastAsia" w:eastAsia="仿宋_GB2312"/>
          <w:sz w:val="32"/>
          <w:szCs w:val="32"/>
        </w:rPr>
        <w:t>14</w:t>
      </w:r>
      <w:r>
        <w:rPr>
          <w:rFonts w:eastAsia="仿宋_GB2312"/>
          <w:sz w:val="32"/>
          <w:szCs w:val="32"/>
        </w:rPr>
        <w:t>.</w:t>
      </w:r>
      <w:r>
        <w:rPr>
          <w:rFonts w:hint="eastAsia" w:eastAsia="仿宋_GB2312"/>
          <w:sz w:val="32"/>
          <w:szCs w:val="32"/>
        </w:rPr>
        <w:t>基本支出：指为保障机构正常运转、完成日常工作任务而发生的人员支出和公用支出。</w:t>
      </w:r>
    </w:p>
    <w:p>
      <w:pPr>
        <w:spacing w:line="600" w:lineRule="exact"/>
        <w:ind w:firstLine="640"/>
        <w:rPr>
          <w:rFonts w:eastAsia="仿宋_GB2312"/>
          <w:sz w:val="32"/>
          <w:szCs w:val="32"/>
        </w:rPr>
      </w:pPr>
      <w:r>
        <w:rPr>
          <w:rFonts w:hint="eastAsia" w:eastAsia="仿宋_GB2312"/>
          <w:sz w:val="32"/>
          <w:szCs w:val="32"/>
        </w:rPr>
        <w:t>15</w:t>
      </w:r>
      <w:r>
        <w:rPr>
          <w:rFonts w:eastAsia="仿宋_GB2312"/>
          <w:sz w:val="32"/>
          <w:szCs w:val="32"/>
        </w:rPr>
        <w:t>.</w:t>
      </w:r>
      <w:r>
        <w:rPr>
          <w:rFonts w:hint="eastAsia" w:eastAsia="仿宋_GB2312"/>
          <w:sz w:val="32"/>
          <w:szCs w:val="32"/>
        </w:rPr>
        <w:t>项目支出：指在基本支出之外为完成特定行政任务和事业发展目标所发生的支出。</w:t>
      </w:r>
    </w:p>
    <w:p>
      <w:pPr>
        <w:spacing w:line="600" w:lineRule="exact"/>
        <w:ind w:firstLine="640"/>
        <w:rPr>
          <w:rFonts w:eastAsia="仿宋_GB2312"/>
          <w:sz w:val="32"/>
          <w:szCs w:val="32"/>
        </w:rPr>
      </w:pPr>
      <w:r>
        <w:rPr>
          <w:rFonts w:hint="eastAsia" w:eastAsia="仿宋_GB2312"/>
          <w:sz w:val="32"/>
          <w:szCs w:val="32"/>
        </w:rPr>
        <w:t>16</w:t>
      </w:r>
      <w:r>
        <w:rPr>
          <w:rFonts w:eastAsia="仿宋_GB2312"/>
          <w:sz w:val="32"/>
          <w:szCs w:val="32"/>
        </w:rPr>
        <w:t>.</w:t>
      </w:r>
      <w:r>
        <w:rPr>
          <w:rFonts w:hint="eastAsia"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sz w:val="32"/>
          <w:szCs w:val="32"/>
        </w:rPr>
      </w:pPr>
      <w:r>
        <w:rPr>
          <w:rFonts w:hint="eastAsia" w:eastAsia="仿宋_GB2312"/>
          <w:sz w:val="32"/>
          <w:szCs w:val="32"/>
        </w:rPr>
        <w:t>17</w:t>
      </w:r>
      <w:r>
        <w:rPr>
          <w:rFonts w:eastAsia="仿宋_GB2312"/>
          <w:sz w:val="32"/>
          <w:szCs w:val="32"/>
        </w:rPr>
        <w:t>.</w:t>
      </w:r>
      <w:r>
        <w:rPr>
          <w:rFonts w:hint="eastAsia"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jc w:val="center"/>
        <w:rPr>
          <w:rStyle w:val="24"/>
          <w:rFonts w:ascii="黑体" w:hAnsi="黑体" w:eastAsia="黑体"/>
          <w:b w:val="0"/>
          <w:color w:val="auto"/>
        </w:rPr>
      </w:pPr>
      <w:r>
        <w:rPr>
          <w:rFonts w:hAnsi="仿宋"/>
          <w:b/>
          <w:sz w:val="44"/>
          <w:szCs w:val="44"/>
        </w:rPr>
        <w:br w:type="page"/>
      </w:r>
      <w:bookmarkStart w:id="57" w:name="_Toc15396614"/>
      <w:bookmarkStart w:id="58" w:name="_Toc15377226"/>
      <w:r>
        <w:rPr>
          <w:rFonts w:hint="eastAsia" w:ascii="黑体" w:hAnsi="黑体" w:eastAsia="黑体"/>
          <w:color w:val="auto"/>
          <w:sz w:val="44"/>
          <w:szCs w:val="44"/>
        </w:rPr>
        <w:t>第</w:t>
      </w:r>
      <w:r>
        <w:rPr>
          <w:rStyle w:val="24"/>
          <w:rFonts w:hint="eastAsia" w:ascii="黑体" w:hAnsi="黑体" w:eastAsia="黑体"/>
          <w:b w:val="0"/>
          <w:color w:val="auto"/>
        </w:rPr>
        <w:t>四部分 附件</w:t>
      </w:r>
      <w:bookmarkEnd w:id="57"/>
    </w:p>
    <w:p>
      <w:pPr>
        <w:spacing w:line="600" w:lineRule="exact"/>
        <w:jc w:val="center"/>
        <w:outlineLvl w:val="0"/>
        <w:rPr>
          <w:rFonts w:hint="eastAsia" w:ascii="宋体" w:hAnsi="宋体" w:eastAsia="宋体" w:cs="宋体"/>
          <w:color w:val="auto"/>
          <w:kern w:val="0"/>
          <w:sz w:val="32"/>
          <w:szCs w:val="32"/>
          <w:highlight w:val="none"/>
          <w:lang w:val="en-US" w:eastAsia="zh-CN" w:bidi="ar-SA"/>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部门预算项目支出绩效自评表（2022年度）</w:t>
      </w:r>
    </w:p>
    <w:tbl>
      <w:tblPr>
        <w:tblStyle w:val="12"/>
        <w:tblW w:w="8256" w:type="dxa"/>
        <w:tblInd w:w="0" w:type="dxa"/>
        <w:tblLayout w:type="fixed"/>
        <w:tblCellMar>
          <w:top w:w="15" w:type="dxa"/>
          <w:left w:w="15" w:type="dxa"/>
          <w:bottom w:w="15" w:type="dxa"/>
          <w:right w:w="15" w:type="dxa"/>
        </w:tblCellMar>
      </w:tblPr>
      <w:tblGrid>
        <w:gridCol w:w="754"/>
        <w:gridCol w:w="755"/>
        <w:gridCol w:w="479"/>
        <w:gridCol w:w="1133"/>
        <w:gridCol w:w="665"/>
        <w:gridCol w:w="755"/>
        <w:gridCol w:w="758"/>
        <w:gridCol w:w="763"/>
        <w:gridCol w:w="755"/>
        <w:gridCol w:w="755"/>
        <w:gridCol w:w="684"/>
      </w:tblGrid>
      <w:tr>
        <w:tblPrEx>
          <w:tblCellMar>
            <w:top w:w="15" w:type="dxa"/>
            <w:left w:w="15" w:type="dxa"/>
            <w:bottom w:w="15" w:type="dxa"/>
            <w:right w:w="15" w:type="dxa"/>
          </w:tblCellMar>
        </w:tblPrEx>
        <w:trPr>
          <w:trHeight w:val="390" w:hRule="atLeast"/>
        </w:trPr>
        <w:tc>
          <w:tcPr>
            <w:tcW w:w="825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
                <w:bCs/>
                <w:color w:val="000000"/>
                <w:kern w:val="0"/>
                <w:sz w:val="30"/>
                <w:szCs w:val="30"/>
              </w:rPr>
            </w:pPr>
            <w:r>
              <w:rPr>
                <w:rFonts w:eastAsia="黑体"/>
                <w:b/>
                <w:bCs/>
                <w:color w:val="000000"/>
                <w:kern w:val="0"/>
                <w:sz w:val="30"/>
                <w:szCs w:val="30"/>
              </w:rPr>
              <w:t>部门预算项目支出绩效自评表（2022年度）</w:t>
            </w:r>
          </w:p>
        </w:tc>
      </w:tr>
      <w:tr>
        <w:tblPrEx>
          <w:tblCellMar>
            <w:top w:w="15" w:type="dxa"/>
            <w:left w:w="15" w:type="dxa"/>
            <w:bottom w:w="15" w:type="dxa"/>
            <w:right w:w="15" w:type="dxa"/>
          </w:tblCellMar>
        </w:tblPrEx>
        <w:trPr>
          <w:trHeight w:val="286"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项目名称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51000021T000000016716-农民工服务保障经费</w:t>
            </w:r>
          </w:p>
        </w:tc>
      </w:tr>
      <w:tr>
        <w:tblPrEx>
          <w:tblCellMar>
            <w:top w:w="15" w:type="dxa"/>
            <w:left w:w="15" w:type="dxa"/>
            <w:bottom w:w="15" w:type="dxa"/>
            <w:right w:w="15" w:type="dxa"/>
          </w:tblCellMar>
        </w:tblPrEx>
        <w:trPr>
          <w:trHeight w:val="450"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主管部门</w:t>
            </w: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四川省经济合作局部门</w:t>
            </w:r>
          </w:p>
        </w:tc>
        <w:tc>
          <w:tcPr>
            <w:tcW w:w="763" w:type="dxa"/>
            <w:vAlign w:val="center"/>
          </w:tcPr>
          <w:p>
            <w:pPr>
              <w:widowControl/>
              <w:jc w:val="left"/>
              <w:rPr>
                <w:color w:val="000000"/>
                <w:kern w:val="0"/>
                <w:sz w:val="18"/>
                <w:szCs w:val="18"/>
              </w:rPr>
            </w:pPr>
            <w:r>
              <w:rPr>
                <w:color w:val="000000"/>
                <w:kern w:val="0"/>
                <w:sz w:val="18"/>
                <w:szCs w:val="18"/>
              </w:rPr>
              <w:t>实施单位 （盖章）</w:t>
            </w:r>
          </w:p>
        </w:tc>
        <w:tc>
          <w:tcPr>
            <w:tcW w:w="21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四川省人民政府驻上海办事处</w:t>
            </w:r>
          </w:p>
        </w:tc>
      </w:tr>
      <w:tr>
        <w:tblPrEx>
          <w:tblCellMar>
            <w:top w:w="15" w:type="dxa"/>
            <w:left w:w="15" w:type="dxa"/>
            <w:bottom w:w="15" w:type="dxa"/>
            <w:right w:w="15" w:type="dxa"/>
          </w:tblCellMar>
        </w:tblPrEx>
        <w:trPr>
          <w:trHeight w:val="286"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项目基本情况</w:t>
            </w: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1.项目年度目标完成情况</w:t>
            </w: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项目年度目标</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年度目标完成情况</w:t>
            </w:r>
          </w:p>
        </w:tc>
      </w:tr>
      <w:tr>
        <w:tblPrEx>
          <w:tblCellMar>
            <w:top w:w="15" w:type="dxa"/>
            <w:left w:w="15" w:type="dxa"/>
            <w:bottom w:w="15" w:type="dxa"/>
            <w:right w:w="15" w:type="dxa"/>
          </w:tblCellMar>
        </w:tblPrEx>
        <w:trPr>
          <w:trHeight w:val="968"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 xml:space="preserve"> 全年开展六省一市农民工慰问活动约871人，购买慰问品或发放慰问金约300元/人，小计26.13万元； 2、农民工专题培训:组织约200名农民工党员教育培训及返乡入乡创业政策宣讲，培训费每人每天500元，小计约10万元； 3、委托业务费：联系区域内28个川籍农民工服务中心和24个川籍农民工流动党员服务中心，每个站点0.5至2万元不等，委托站点为农民工提供法律维权服务并协助办事处处理辖区内相关农民工工作事宜，小计30万元。</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年初设定的目标指标均完成，组织农民工业务专项培训1次，举办《劳动用工领域解约纠纷的应对》等普法维权讲座30余场次，发放维权资料1300余份，提供免费审核材料、代拟法律文书31份，协商解决劳资纠纷、工伤事故、侵权事件77起，涉及欠薪及各类赔偿2149余万元。把做好疫情下在沪川籍务工人员的解难纾困工作作为头等大事，联合江浙沪四川商会发出《倡议书》，鼓励和引导在长三角川商加大对在沪老乡特别是严重受困人员的关心关爱，提供政策答疑、资源互享等各类帮助。</w:t>
            </w:r>
          </w:p>
        </w:tc>
      </w:tr>
      <w:tr>
        <w:tblPrEx>
          <w:tblCellMar>
            <w:top w:w="15" w:type="dxa"/>
            <w:left w:w="15" w:type="dxa"/>
            <w:bottom w:w="15" w:type="dxa"/>
            <w:right w:w="15" w:type="dxa"/>
          </w:tblCellMar>
        </w:tblPrEx>
        <w:trPr>
          <w:trHeight w:val="1381"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2.项目实施内容及过程概述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组织农民工业务专项培训1次，举办《劳动用工领域解约纠纷的应对》等普法维权讲座30余场次，发放维权资料1300余份，提供免费审核材料、代拟法律文书31份，协商解决劳资纠纷、工伤事故、侵权事件77起，涉及欠薪及各类赔偿2149余万元。把做好疫情下在沪川籍务工人员的解难纾困工作作为头等大事，联合江浙沪四川商会发出《倡议书》，鼓励和引导在长三角川商加大对在沪老乡特别是严重受困人员的关心关爱，提供政策答疑、资源互享等各类帮助。</w:t>
            </w:r>
          </w:p>
        </w:tc>
      </w:tr>
      <w:tr>
        <w:tblPrEx>
          <w:tblCellMar>
            <w:top w:w="15" w:type="dxa"/>
            <w:left w:w="15" w:type="dxa"/>
            <w:bottom w:w="15" w:type="dxa"/>
            <w:right w:w="15" w:type="dxa"/>
          </w:tblCellMar>
        </w:tblPrEx>
        <w:trPr>
          <w:trHeight w:val="555"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预算执行情况（10分）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年度预算数（万元）</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年初预算</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调整后预算数</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预算执行数</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预算执行率</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原因</w:t>
            </w:r>
          </w:p>
        </w:tc>
      </w:tr>
      <w:tr>
        <w:tblPrEx>
          <w:tblCellMar>
            <w:top w:w="15" w:type="dxa"/>
            <w:left w:w="15" w:type="dxa"/>
            <w:bottom w:w="15" w:type="dxa"/>
            <w:right w:w="15" w:type="dxa"/>
          </w:tblCellMar>
        </w:tblPrEx>
        <w:trPr>
          <w:trHeight w:val="42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总额</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66.13</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66.13</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61.15</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92.47%</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55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其中：财政资金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66.13</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66.13</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61.15</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92.47%</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55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财政专户管理资金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54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单位资金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68"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其他资金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绩效指标（90分）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一级指标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二级指标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三级指标</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指标性质</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指标值</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度量单位</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完成值</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未完成原因分析</w:t>
            </w:r>
          </w:p>
        </w:tc>
      </w:tr>
      <w:tr>
        <w:tblPrEx>
          <w:tblCellMar>
            <w:top w:w="15" w:type="dxa"/>
            <w:left w:w="15" w:type="dxa"/>
            <w:bottom w:w="15" w:type="dxa"/>
            <w:right w:w="15" w:type="dxa"/>
          </w:tblCellMar>
        </w:tblPrEx>
        <w:trPr>
          <w:trHeight w:val="42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产出指标</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数量指标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慰问农民工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800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人次</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800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81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委托联系区域内28个川籍农民工服务站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次</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30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30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63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川籍农民工培训次数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次</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54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质量指标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协助处理维权事件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30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件</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30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农民工服务保障优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定性</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优良中低差</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优</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满意度指标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服务对象满意度指标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服务对象满意率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95</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95</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606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合计</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100</w:t>
            </w:r>
          </w:p>
        </w:tc>
        <w:tc>
          <w:tcPr>
            <w:tcW w:w="755" w:type="dxa"/>
            <w:tcBorders>
              <w:top w:val="single" w:color="000000" w:sz="4" w:space="0"/>
              <w:left w:val="single" w:color="000000" w:sz="4" w:space="0"/>
              <w:bottom w:val="single" w:color="000000" w:sz="4" w:space="0"/>
              <w:right w:val="single" w:color="000000" w:sz="4" w:space="0"/>
            </w:tcBorders>
          </w:tcPr>
          <w:p>
            <w:pPr>
              <w:widowControl/>
              <w:jc w:val="center"/>
              <w:rPr>
                <w:color w:val="000000"/>
                <w:kern w:val="0"/>
                <w:sz w:val="18"/>
                <w:szCs w:val="18"/>
              </w:rPr>
            </w:pPr>
            <w:r>
              <w:rPr>
                <w:color w:val="000000"/>
                <w:kern w:val="0"/>
                <w:sz w:val="18"/>
                <w:szCs w:val="18"/>
              </w:rPr>
              <w:t>99</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评价结论</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执行情况较好，年初设定的目标指标均完成。</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存在问题</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由于疫情管控原因，2022年在培训人数和场地方面受到了一些限制。</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改进措施</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2023年将提早谋划，联系区域内商协会，组织各地川籍农民工开展培训，形成整体规模化培训，使农民工及时有效地掌握相关法律知识。</w:t>
            </w:r>
          </w:p>
        </w:tc>
      </w:tr>
      <w:tr>
        <w:tblPrEx>
          <w:tblCellMar>
            <w:top w:w="15" w:type="dxa"/>
            <w:left w:w="15" w:type="dxa"/>
            <w:bottom w:w="15" w:type="dxa"/>
            <w:right w:w="15" w:type="dxa"/>
          </w:tblCellMar>
        </w:tblPrEx>
        <w:trPr>
          <w:trHeight w:val="286" w:hRule="atLeast"/>
        </w:trPr>
        <w:tc>
          <w:tcPr>
            <w:tcW w:w="378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项目负责人：</w:t>
            </w:r>
          </w:p>
        </w:tc>
        <w:tc>
          <w:tcPr>
            <w:tcW w:w="44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财务负责人：</w:t>
            </w:r>
          </w:p>
        </w:tc>
      </w:tr>
      <w:tr>
        <w:tblPrEx>
          <w:tblCellMar>
            <w:top w:w="15" w:type="dxa"/>
            <w:left w:w="15" w:type="dxa"/>
            <w:bottom w:w="15" w:type="dxa"/>
            <w:right w:w="15" w:type="dxa"/>
          </w:tblCellMar>
        </w:tblPrEx>
        <w:trPr>
          <w:trHeight w:val="286" w:hRule="atLeast"/>
        </w:trPr>
        <w:tc>
          <w:tcPr>
            <w:tcW w:w="754" w:type="dxa"/>
            <w:vAlign w:val="center"/>
          </w:tcPr>
          <w:p>
            <w:pPr>
              <w:widowControl/>
              <w:jc w:val="left"/>
            </w:pPr>
          </w:p>
          <w:p>
            <w:pPr>
              <w:pStyle w:val="2"/>
            </w:pPr>
          </w:p>
        </w:tc>
        <w:tc>
          <w:tcPr>
            <w:tcW w:w="755" w:type="dxa"/>
            <w:vAlign w:val="center"/>
          </w:tcPr>
          <w:p>
            <w:pPr>
              <w:widowControl/>
              <w:jc w:val="left"/>
              <w:rPr>
                <w:rFonts w:eastAsia="Times New Roman"/>
                <w:kern w:val="0"/>
                <w:sz w:val="20"/>
                <w:szCs w:val="20"/>
              </w:rPr>
            </w:pPr>
          </w:p>
        </w:tc>
        <w:tc>
          <w:tcPr>
            <w:tcW w:w="479" w:type="dxa"/>
            <w:vAlign w:val="center"/>
          </w:tcPr>
          <w:p>
            <w:pPr>
              <w:widowControl/>
              <w:jc w:val="left"/>
              <w:rPr>
                <w:rFonts w:eastAsia="Times New Roman"/>
                <w:kern w:val="0"/>
                <w:sz w:val="20"/>
                <w:szCs w:val="20"/>
              </w:rPr>
            </w:pPr>
          </w:p>
        </w:tc>
        <w:tc>
          <w:tcPr>
            <w:tcW w:w="1133" w:type="dxa"/>
            <w:vAlign w:val="center"/>
          </w:tcPr>
          <w:p>
            <w:pPr>
              <w:widowControl/>
              <w:jc w:val="left"/>
              <w:rPr>
                <w:rFonts w:eastAsia="Times New Roman"/>
                <w:kern w:val="0"/>
                <w:sz w:val="20"/>
                <w:szCs w:val="20"/>
              </w:rPr>
            </w:pPr>
          </w:p>
        </w:tc>
        <w:tc>
          <w:tcPr>
            <w:tcW w:w="665"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tc>
        <w:tc>
          <w:tcPr>
            <w:tcW w:w="758" w:type="dxa"/>
            <w:vAlign w:val="center"/>
          </w:tcPr>
          <w:p>
            <w:pPr>
              <w:widowControl/>
              <w:jc w:val="left"/>
              <w:rPr>
                <w:rFonts w:eastAsia="Times New Roman"/>
                <w:kern w:val="0"/>
                <w:sz w:val="20"/>
                <w:szCs w:val="20"/>
              </w:rPr>
            </w:pPr>
          </w:p>
        </w:tc>
        <w:tc>
          <w:tcPr>
            <w:tcW w:w="763"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tc>
        <w:tc>
          <w:tcPr>
            <w:tcW w:w="684" w:type="dxa"/>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390" w:hRule="atLeast"/>
        </w:trPr>
        <w:tc>
          <w:tcPr>
            <w:tcW w:w="825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
                <w:bCs/>
                <w:color w:val="000000"/>
                <w:kern w:val="0"/>
                <w:sz w:val="30"/>
                <w:szCs w:val="30"/>
              </w:rPr>
            </w:pPr>
            <w:r>
              <w:rPr>
                <w:rFonts w:eastAsia="黑体"/>
                <w:b/>
                <w:bCs/>
                <w:color w:val="000000"/>
                <w:kern w:val="0"/>
                <w:sz w:val="30"/>
                <w:szCs w:val="30"/>
              </w:rPr>
              <w:t>部门预算项目支出绩效自评表（2022年度）</w:t>
            </w:r>
          </w:p>
        </w:tc>
      </w:tr>
      <w:tr>
        <w:tblPrEx>
          <w:tblCellMar>
            <w:top w:w="15" w:type="dxa"/>
            <w:left w:w="15" w:type="dxa"/>
            <w:bottom w:w="15" w:type="dxa"/>
            <w:right w:w="15" w:type="dxa"/>
          </w:tblCellMar>
        </w:tblPrEx>
        <w:trPr>
          <w:trHeight w:val="286"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项目名称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51000021T000000016722-设备购置经费</w:t>
            </w:r>
          </w:p>
        </w:tc>
      </w:tr>
      <w:tr>
        <w:tblPrEx>
          <w:tblCellMar>
            <w:top w:w="15" w:type="dxa"/>
            <w:left w:w="15" w:type="dxa"/>
            <w:bottom w:w="15" w:type="dxa"/>
            <w:right w:w="15" w:type="dxa"/>
          </w:tblCellMar>
        </w:tblPrEx>
        <w:trPr>
          <w:trHeight w:val="450"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主管部门</w:t>
            </w: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四川省经济合作局部门</w:t>
            </w:r>
          </w:p>
        </w:tc>
        <w:tc>
          <w:tcPr>
            <w:tcW w:w="763" w:type="dxa"/>
            <w:vAlign w:val="center"/>
          </w:tcPr>
          <w:p>
            <w:pPr>
              <w:widowControl/>
              <w:jc w:val="left"/>
              <w:rPr>
                <w:color w:val="000000"/>
                <w:kern w:val="0"/>
                <w:sz w:val="18"/>
                <w:szCs w:val="18"/>
              </w:rPr>
            </w:pPr>
            <w:r>
              <w:rPr>
                <w:color w:val="000000"/>
                <w:kern w:val="0"/>
                <w:sz w:val="18"/>
                <w:szCs w:val="18"/>
              </w:rPr>
              <w:t>实施单位 （盖章）</w:t>
            </w:r>
          </w:p>
        </w:tc>
        <w:tc>
          <w:tcPr>
            <w:tcW w:w="21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四川省人民政府驻上海办事处</w:t>
            </w:r>
          </w:p>
        </w:tc>
      </w:tr>
      <w:tr>
        <w:tblPrEx>
          <w:tblCellMar>
            <w:top w:w="15" w:type="dxa"/>
            <w:left w:w="15" w:type="dxa"/>
            <w:bottom w:w="15" w:type="dxa"/>
            <w:right w:w="15" w:type="dxa"/>
          </w:tblCellMar>
        </w:tblPrEx>
        <w:trPr>
          <w:trHeight w:val="286"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项目基本情况</w:t>
            </w: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1.项目年度目标完成情况</w:t>
            </w: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项目年度目标</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年度目标完成情况</w:t>
            </w:r>
          </w:p>
        </w:tc>
      </w:tr>
      <w:tr>
        <w:tblPrEx>
          <w:tblCellMar>
            <w:top w:w="15" w:type="dxa"/>
            <w:left w:w="15" w:type="dxa"/>
            <w:bottom w:w="15" w:type="dxa"/>
            <w:right w:w="15" w:type="dxa"/>
          </w:tblCellMar>
        </w:tblPrEx>
        <w:trPr>
          <w:trHeight w:val="117"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1、符合《四川省财政厅关于印发&lt;四川省省级行政事业单位通用办公设备和家具配置标准&gt;的通知》（川财资产【2017】20号）采购标准；</w:t>
            </w:r>
            <w:r>
              <w:rPr>
                <w:color w:val="000000"/>
                <w:kern w:val="0"/>
                <w:sz w:val="18"/>
                <w:szCs w:val="18"/>
              </w:rPr>
              <w:br w:type="textWrapping"/>
            </w:r>
            <w:r>
              <w:rPr>
                <w:color w:val="000000"/>
                <w:kern w:val="0"/>
                <w:sz w:val="18"/>
                <w:szCs w:val="18"/>
              </w:rPr>
              <w:t>2、按照单位政府采购及非政府采购相关制度，规范采购。</w:t>
            </w:r>
            <w:r>
              <w:rPr>
                <w:color w:val="000000"/>
                <w:kern w:val="0"/>
                <w:sz w:val="18"/>
                <w:szCs w:val="18"/>
              </w:rPr>
              <w:br w:type="textWrapping"/>
            </w:r>
            <w:r>
              <w:rPr>
                <w:color w:val="000000"/>
                <w:kern w:val="0"/>
                <w:sz w:val="18"/>
                <w:szCs w:val="18"/>
              </w:rPr>
              <w:t xml:space="preserve">3、结合业务处室及职工办公区、生活区的家具设备需求和现有设备使用情况，以保障工作正常运转，采购一批设备家具：1.5P柜机空调23台，7.82万；2P挂机空调18台，10.44万元。    </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按照单位政府采购及非政府采购相关制度，规范采购了一批空调，提升了职工办公居住环境。</w:t>
            </w:r>
          </w:p>
        </w:tc>
      </w:tr>
      <w:tr>
        <w:tblPrEx>
          <w:tblCellMar>
            <w:top w:w="15" w:type="dxa"/>
            <w:left w:w="15" w:type="dxa"/>
            <w:bottom w:w="15" w:type="dxa"/>
            <w:right w:w="15" w:type="dxa"/>
          </w:tblCellMar>
        </w:tblPrEx>
        <w:trPr>
          <w:trHeight w:val="99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2.项目实施内容及过程概述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按照单位政府采购及非政府采购相关制度，规范采购了一批空调，1.5P柜机空调23台；2P挂机空调18台，小计16.52万元。</w:t>
            </w:r>
          </w:p>
        </w:tc>
      </w:tr>
      <w:tr>
        <w:tblPrEx>
          <w:tblCellMar>
            <w:top w:w="15" w:type="dxa"/>
            <w:left w:w="15" w:type="dxa"/>
            <w:bottom w:w="15" w:type="dxa"/>
            <w:right w:w="15" w:type="dxa"/>
          </w:tblCellMar>
        </w:tblPrEx>
        <w:trPr>
          <w:trHeight w:val="450"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预算执行情况（10分）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年度预算数（万元）</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年初预算</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调整后预算数</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预算执行数</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预算执行率</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原因</w:t>
            </w: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总额</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18.26</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18.26</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16.52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90.47%</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其中：财政资金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18.26</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18.26</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16.52</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90.47%</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财政专户管理资金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单位资金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其他资金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绩效指标（90分）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一级指标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二级指标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三级指标</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指标性质</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指标值</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度量单位</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完成值</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未完成原因分析</w:t>
            </w: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产出指标</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数量指标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购置1.5p空调</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23</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台</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23</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25</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购置2p空调</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18</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台</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18</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25</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效益指标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可持续影响指标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提升职工办公居住环境</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定性</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优良中低差</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批</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优</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满意度指标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服务对象满意度指标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职工 服务对象满意率</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定性</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优良中低差</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批</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优</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606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合计</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99</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评价结论</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执行情况较好，年初设定的目标指标均完成。</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存在问题</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无</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改进措施</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无</w:t>
            </w:r>
          </w:p>
        </w:tc>
      </w:tr>
      <w:tr>
        <w:tblPrEx>
          <w:tblCellMar>
            <w:top w:w="15" w:type="dxa"/>
            <w:left w:w="15" w:type="dxa"/>
            <w:bottom w:w="15" w:type="dxa"/>
            <w:right w:w="15" w:type="dxa"/>
          </w:tblCellMar>
        </w:tblPrEx>
        <w:trPr>
          <w:trHeight w:val="286" w:hRule="atLeast"/>
        </w:trPr>
        <w:tc>
          <w:tcPr>
            <w:tcW w:w="378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项目负责人：</w:t>
            </w:r>
          </w:p>
        </w:tc>
        <w:tc>
          <w:tcPr>
            <w:tcW w:w="44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财务负责人：</w:t>
            </w:r>
          </w:p>
        </w:tc>
      </w:tr>
      <w:tr>
        <w:tblPrEx>
          <w:tblCellMar>
            <w:top w:w="15" w:type="dxa"/>
            <w:left w:w="15" w:type="dxa"/>
            <w:bottom w:w="15" w:type="dxa"/>
            <w:right w:w="15" w:type="dxa"/>
          </w:tblCellMar>
        </w:tblPrEx>
        <w:trPr>
          <w:trHeight w:val="286" w:hRule="atLeast"/>
        </w:trPr>
        <w:tc>
          <w:tcPr>
            <w:tcW w:w="754" w:type="dxa"/>
            <w:vAlign w:val="center"/>
          </w:tcPr>
          <w:p>
            <w:pPr>
              <w:widowControl/>
              <w:jc w:val="left"/>
              <w:rPr>
                <w:color w:val="000000"/>
                <w:kern w:val="0"/>
                <w:sz w:val="18"/>
                <w:szCs w:val="18"/>
              </w:rPr>
            </w:pPr>
          </w:p>
        </w:tc>
        <w:tc>
          <w:tcPr>
            <w:tcW w:w="755" w:type="dxa"/>
            <w:vAlign w:val="center"/>
          </w:tcPr>
          <w:p>
            <w:pPr>
              <w:widowControl/>
              <w:jc w:val="left"/>
              <w:rPr>
                <w:rFonts w:eastAsia="Times New Roman"/>
                <w:kern w:val="0"/>
                <w:sz w:val="20"/>
                <w:szCs w:val="20"/>
              </w:rPr>
            </w:pPr>
          </w:p>
        </w:tc>
        <w:tc>
          <w:tcPr>
            <w:tcW w:w="479" w:type="dxa"/>
            <w:vAlign w:val="center"/>
          </w:tcPr>
          <w:p>
            <w:pPr>
              <w:widowControl/>
              <w:jc w:val="left"/>
              <w:rPr>
                <w:rFonts w:eastAsia="Times New Roman"/>
                <w:kern w:val="0"/>
                <w:sz w:val="20"/>
                <w:szCs w:val="20"/>
              </w:rPr>
            </w:pPr>
          </w:p>
        </w:tc>
        <w:tc>
          <w:tcPr>
            <w:tcW w:w="1133" w:type="dxa"/>
            <w:vAlign w:val="center"/>
          </w:tcPr>
          <w:p>
            <w:pPr>
              <w:widowControl/>
              <w:jc w:val="left"/>
              <w:rPr>
                <w:rFonts w:eastAsia="Times New Roman"/>
                <w:kern w:val="0"/>
                <w:sz w:val="20"/>
                <w:szCs w:val="20"/>
              </w:rPr>
            </w:pPr>
          </w:p>
        </w:tc>
        <w:tc>
          <w:tcPr>
            <w:tcW w:w="665"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tc>
        <w:tc>
          <w:tcPr>
            <w:tcW w:w="758" w:type="dxa"/>
            <w:vAlign w:val="center"/>
          </w:tcPr>
          <w:p>
            <w:pPr>
              <w:widowControl/>
              <w:jc w:val="left"/>
              <w:rPr>
                <w:rFonts w:eastAsia="Times New Roman"/>
                <w:kern w:val="0"/>
                <w:sz w:val="20"/>
                <w:szCs w:val="20"/>
              </w:rPr>
            </w:pPr>
          </w:p>
        </w:tc>
        <w:tc>
          <w:tcPr>
            <w:tcW w:w="763"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tc>
        <w:tc>
          <w:tcPr>
            <w:tcW w:w="755" w:type="dxa"/>
            <w:vAlign w:val="center"/>
          </w:tcPr>
          <w:p>
            <w:pPr>
              <w:widowControl/>
              <w:jc w:val="left"/>
              <w:rPr>
                <w:rFonts w:eastAsia="Times New Roman"/>
                <w:kern w:val="0"/>
                <w:sz w:val="20"/>
                <w:szCs w:val="20"/>
              </w:rPr>
            </w:pPr>
          </w:p>
          <w:p>
            <w:pPr>
              <w:widowControl/>
              <w:jc w:val="left"/>
              <w:rPr>
                <w:rFonts w:eastAsia="Times New Roman"/>
                <w:kern w:val="0"/>
                <w:sz w:val="20"/>
                <w:szCs w:val="20"/>
              </w:rPr>
            </w:pPr>
          </w:p>
          <w:p>
            <w:pPr>
              <w:widowControl/>
              <w:jc w:val="left"/>
              <w:rPr>
                <w:rFonts w:eastAsia="Times New Roman"/>
                <w:kern w:val="0"/>
                <w:sz w:val="20"/>
                <w:szCs w:val="20"/>
              </w:rPr>
            </w:pPr>
          </w:p>
        </w:tc>
        <w:tc>
          <w:tcPr>
            <w:tcW w:w="684" w:type="dxa"/>
            <w:vAlign w:val="center"/>
          </w:tcPr>
          <w:p>
            <w:pPr>
              <w:widowControl/>
              <w:jc w:val="left"/>
              <w:rPr>
                <w:rFonts w:eastAsia="Times New Roman"/>
                <w:kern w:val="0"/>
                <w:sz w:val="20"/>
                <w:szCs w:val="20"/>
              </w:rPr>
            </w:pPr>
          </w:p>
        </w:tc>
      </w:tr>
      <w:tr>
        <w:tblPrEx>
          <w:tblCellMar>
            <w:top w:w="15" w:type="dxa"/>
            <w:left w:w="15" w:type="dxa"/>
            <w:bottom w:w="15" w:type="dxa"/>
            <w:right w:w="15" w:type="dxa"/>
          </w:tblCellMar>
        </w:tblPrEx>
        <w:trPr>
          <w:trHeight w:val="390" w:hRule="atLeast"/>
        </w:trPr>
        <w:tc>
          <w:tcPr>
            <w:tcW w:w="825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黑体"/>
                <w:b/>
                <w:bCs/>
                <w:color w:val="000000"/>
                <w:kern w:val="0"/>
                <w:sz w:val="30"/>
                <w:szCs w:val="30"/>
              </w:rPr>
            </w:pPr>
            <w:r>
              <w:rPr>
                <w:rFonts w:eastAsia="黑体"/>
                <w:b/>
                <w:bCs/>
                <w:color w:val="000000"/>
                <w:kern w:val="0"/>
                <w:sz w:val="30"/>
                <w:szCs w:val="30"/>
              </w:rPr>
              <w:t>部门预算项目支出绩效自评表（2022年度）</w:t>
            </w:r>
          </w:p>
        </w:tc>
      </w:tr>
      <w:tr>
        <w:tblPrEx>
          <w:tblCellMar>
            <w:top w:w="15" w:type="dxa"/>
            <w:left w:w="15" w:type="dxa"/>
            <w:bottom w:w="15" w:type="dxa"/>
            <w:right w:w="15" w:type="dxa"/>
          </w:tblCellMar>
        </w:tblPrEx>
        <w:trPr>
          <w:trHeight w:val="286"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项目名称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51000021T000000016728-招商引资业务经费</w:t>
            </w:r>
          </w:p>
        </w:tc>
      </w:tr>
      <w:tr>
        <w:tblPrEx>
          <w:tblCellMar>
            <w:top w:w="15" w:type="dxa"/>
            <w:left w:w="15" w:type="dxa"/>
            <w:bottom w:w="15" w:type="dxa"/>
            <w:right w:w="15" w:type="dxa"/>
          </w:tblCellMar>
        </w:tblPrEx>
        <w:trPr>
          <w:trHeight w:val="450" w:hRule="atLeast"/>
        </w:trPr>
        <w:tc>
          <w:tcPr>
            <w:tcW w:w="15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主管部门</w:t>
            </w:r>
          </w:p>
        </w:tc>
        <w:tc>
          <w:tcPr>
            <w:tcW w:w="3790" w:type="dxa"/>
            <w:gridSpan w:val="5"/>
            <w:tcBorders>
              <w:top w:val="single" w:color="000000" w:sz="4" w:space="0"/>
              <w:left w:val="single" w:color="000000" w:sz="4" w:space="0"/>
              <w:bottom w:val="single" w:color="000000" w:sz="4" w:space="0"/>
              <w:right w:val="single" w:color="auto" w:sz="4" w:space="0"/>
            </w:tcBorders>
            <w:vAlign w:val="center"/>
          </w:tcPr>
          <w:p>
            <w:pPr>
              <w:widowControl/>
              <w:jc w:val="left"/>
              <w:rPr>
                <w:color w:val="000000"/>
                <w:kern w:val="0"/>
                <w:sz w:val="18"/>
                <w:szCs w:val="18"/>
              </w:rPr>
            </w:pPr>
            <w:r>
              <w:rPr>
                <w:color w:val="000000"/>
                <w:kern w:val="0"/>
                <w:sz w:val="18"/>
                <w:szCs w:val="18"/>
              </w:rPr>
              <w:t>四川省经济合作局部门</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r>
              <w:rPr>
                <w:color w:val="000000"/>
                <w:kern w:val="0"/>
                <w:sz w:val="18"/>
                <w:szCs w:val="18"/>
              </w:rPr>
              <w:t>实施单位 （盖章）</w:t>
            </w:r>
          </w:p>
        </w:tc>
        <w:tc>
          <w:tcPr>
            <w:tcW w:w="21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四川省人民政府驻上海办事处</w:t>
            </w:r>
          </w:p>
        </w:tc>
      </w:tr>
      <w:tr>
        <w:tblPrEx>
          <w:tblCellMar>
            <w:top w:w="15" w:type="dxa"/>
            <w:left w:w="15" w:type="dxa"/>
            <w:bottom w:w="15" w:type="dxa"/>
            <w:right w:w="15" w:type="dxa"/>
          </w:tblCellMar>
        </w:tblPrEx>
        <w:trPr>
          <w:trHeight w:val="286"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项目基本情况</w:t>
            </w: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1.项目年度目标完成情况</w:t>
            </w: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项目年度目标</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年度目标完成情况</w:t>
            </w: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37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引进合同引资额520亿元以上，实际到位资金额88亿元，直接促进50亿元以上的重大项目3个，直接促进30亿元以上的重大项目5个，直接促进10亿元以上的大项目8个，中外知名企业四川行活动邀请500强及知名企业出席27家，在联系区域搭建专题招商平台30次，搭建网络招商平台10次，承办经贸合作交流平台活动1次、落实驻地省（市）、企业、园区与四川签订合作协议等。</w:t>
            </w:r>
          </w:p>
        </w:tc>
        <w:tc>
          <w:tcPr>
            <w:tcW w:w="295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年初设定的目标指标均完成，全年共引进项目123个、签约金额2885.5亿元，其中外资项目5个，100亿元以上项目8个、50-100亿元项目11个、30-50亿元项目15个、10-30亿元项目36个，组织招商引资业务专项培训1次。</w:t>
            </w:r>
          </w:p>
        </w:tc>
      </w:tr>
      <w:tr>
        <w:tblPrEx>
          <w:tblCellMar>
            <w:top w:w="15" w:type="dxa"/>
            <w:left w:w="15" w:type="dxa"/>
            <w:bottom w:w="15" w:type="dxa"/>
            <w:right w:w="15" w:type="dxa"/>
          </w:tblCellMar>
        </w:tblPrEx>
        <w:trPr>
          <w:trHeight w:val="67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2.项目实施内容及过程概述</w:t>
            </w:r>
          </w:p>
        </w:tc>
        <w:tc>
          <w:tcPr>
            <w:tcW w:w="6747"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全年共引进项目123个、签约金额2885.5亿元，其中外资项目5个，100亿元以上项目8个、50-100亿元项目11个、30-50亿元项目15个、10-30亿元项目36个，组织招商引资业务专项培训1次。圆满完成中外知名企业四川行、第八届中国（四川）国际旅游投资大会、川浙电子信息产业合作精准对接会等14场省级投资促进活动的筹办、协办和企业邀请任务。抢抓进博会投资溢出效应机遇，精心筹备举办“跨国公司投资四川恳谈会”等外资专题活动，邀请杜邦、通用电气、三菱重工等60余家世界知名企业对接洽谈，推进“展商变投资商”。联动市州举办系列投资推介平台活动15场。</w:t>
            </w:r>
          </w:p>
        </w:tc>
      </w:tr>
      <w:tr>
        <w:tblPrEx>
          <w:tblCellMar>
            <w:top w:w="15" w:type="dxa"/>
            <w:left w:w="15" w:type="dxa"/>
            <w:bottom w:w="15" w:type="dxa"/>
            <w:right w:w="15" w:type="dxa"/>
          </w:tblCellMar>
        </w:tblPrEx>
        <w:trPr>
          <w:trHeight w:val="450"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预算执行情况（10分）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年度预算数（万元）</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年初预算</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调整后预算数</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预算执行数</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预算执行率</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原因</w:t>
            </w: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总额</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51.00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51.00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23.54</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46.16%</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r>
              <w:rPr>
                <w:iCs/>
                <w:color w:val="000000"/>
                <w:kern w:val="0"/>
                <w:sz w:val="18"/>
                <w:szCs w:val="18"/>
              </w:rPr>
              <w:t>受新冠疫情影响，部分计划举办的招商引资活动和会议取消或延期。</w:t>
            </w: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其中：财政资金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51.00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51.00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23.54</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46.16%</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财政专户管理资金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单位资金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0.00%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其他资金</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kern w:val="0"/>
                <w:sz w:val="20"/>
                <w:szCs w:val="20"/>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iCs/>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绩效指标（90分）</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一级指标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二级指标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三级指标</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指标性质</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指标值</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度量单位</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完成值</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权重</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未完成原因分析</w:t>
            </w:r>
          </w:p>
        </w:tc>
      </w:tr>
      <w:tr>
        <w:tblPrEx>
          <w:tblCellMar>
            <w:top w:w="15" w:type="dxa"/>
            <w:left w:w="15" w:type="dxa"/>
            <w:bottom w:w="15" w:type="dxa"/>
            <w:right w:w="15" w:type="dxa"/>
          </w:tblCellMar>
        </w:tblPrEx>
        <w:trPr>
          <w:trHeight w:val="67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产出指标</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数量指标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参与促进50亿元以上项目个数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3</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个</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3</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67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参与促进30亿元以上项目个数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个</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5</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67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 xml:space="preserve">招商引资技能提升培训次数 </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批次</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675"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参与促进10亿元以上项目个数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8</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个</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8</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活动次数</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批次</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2</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合同引进资金额</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520</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亿元</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520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450" w:hRule="atLeast"/>
        </w:trPr>
        <w:tc>
          <w:tcPr>
            <w:tcW w:w="7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满意度指标</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服务对象满意度指标</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满意度</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95</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微软雅黑"/>
                <w:iCs/>
                <w:color w:val="000000"/>
                <w:kern w:val="0"/>
                <w:sz w:val="16"/>
                <w:szCs w:val="16"/>
              </w:rPr>
            </w:pPr>
            <w:r>
              <w:rPr>
                <w:rFonts w:eastAsia="微软雅黑"/>
                <w:iCs/>
                <w:color w:val="000000"/>
                <w:kern w:val="0"/>
                <w:sz w:val="16"/>
                <w:szCs w:val="16"/>
              </w:rPr>
              <w:t>95</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p>
        </w:tc>
      </w:tr>
      <w:tr>
        <w:tblPrEx>
          <w:tblCellMar>
            <w:top w:w="15" w:type="dxa"/>
            <w:left w:w="15" w:type="dxa"/>
            <w:bottom w:w="15" w:type="dxa"/>
            <w:right w:w="15" w:type="dxa"/>
          </w:tblCellMar>
        </w:tblPrEx>
        <w:trPr>
          <w:trHeight w:val="286" w:hRule="atLeast"/>
        </w:trPr>
        <w:tc>
          <w:tcPr>
            <w:tcW w:w="606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合计</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100</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95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评价结论</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执行情况一般，年初设定的目标指标均完成。</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存在问题</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执行情况一般，主要原因是受全国新冠疫情影响，部分计划举办的招商引资活动和会议取消或延期。</w:t>
            </w:r>
          </w:p>
        </w:tc>
      </w:tr>
      <w:tr>
        <w:tblPrEx>
          <w:tblCellMar>
            <w:top w:w="15" w:type="dxa"/>
            <w:left w:w="15" w:type="dxa"/>
            <w:bottom w:w="15" w:type="dxa"/>
            <w:right w:w="15" w:type="dxa"/>
          </w:tblCellMar>
        </w:tblPrEx>
        <w:trPr>
          <w:trHeight w:val="286"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8"/>
                <w:szCs w:val="18"/>
              </w:rPr>
            </w:pPr>
            <w:r>
              <w:rPr>
                <w:color w:val="000000"/>
                <w:kern w:val="0"/>
                <w:sz w:val="18"/>
                <w:szCs w:val="18"/>
              </w:rPr>
              <w:t>改进措施</w:t>
            </w:r>
          </w:p>
        </w:tc>
        <w:tc>
          <w:tcPr>
            <w:tcW w:w="7502" w:type="dxa"/>
            <w:gridSpan w:val="10"/>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紧盯国家重大功能布局和重大改革赋能，坚定信心、抢抓机遇、乘势而上。深钻细研《成渝地区双城经济圈建设规划纲要》《关于承接制造业有序转移的实施意见》，用好《投资四川机遇清单》，在企业拜访、座谈交流中，向成渝绵“创新金三角”打造、成德眉资创新共同体建设、国家数字经济创新发展试验区建设等方向上聚焦和指引。“招大引强”与“招高引新”并重、“延链补链”与“建链强链”并促，瞄准重点地区，集中资源力量，积极招引产业链“链主”企业及上下游配套项目。加强与省市经济部门、驻外招商机构、商协会及入川企业的沟通交流，深入挖掘捕捉招商信息，“以企引企、以商招商”拓展项目储备。</w:t>
            </w:r>
          </w:p>
        </w:tc>
      </w:tr>
      <w:tr>
        <w:tblPrEx>
          <w:tblCellMar>
            <w:top w:w="15" w:type="dxa"/>
            <w:left w:w="15" w:type="dxa"/>
            <w:bottom w:w="15" w:type="dxa"/>
            <w:right w:w="15" w:type="dxa"/>
          </w:tblCellMar>
        </w:tblPrEx>
        <w:trPr>
          <w:trHeight w:val="286" w:hRule="atLeast"/>
        </w:trPr>
        <w:tc>
          <w:tcPr>
            <w:tcW w:w="378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项目负责人：</w:t>
            </w:r>
          </w:p>
        </w:tc>
        <w:tc>
          <w:tcPr>
            <w:tcW w:w="44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8"/>
                <w:szCs w:val="18"/>
              </w:rPr>
            </w:pPr>
            <w:r>
              <w:rPr>
                <w:color w:val="000000"/>
                <w:kern w:val="0"/>
                <w:sz w:val="18"/>
                <w:szCs w:val="18"/>
              </w:rPr>
              <w:t>财务负责人：</w:t>
            </w:r>
          </w:p>
        </w:tc>
      </w:tr>
    </w:tbl>
    <w:p>
      <w:pPr>
        <w:pStyle w:val="2"/>
      </w:pPr>
    </w:p>
    <w:p>
      <w:pPr>
        <w:pStyle w:val="2"/>
        <w:spacing w:before="93"/>
        <w:rPr>
          <w:color w:val="FF0000"/>
        </w:rPr>
      </w:pPr>
      <w:bookmarkStart w:id="59" w:name="_Toc15396618"/>
    </w:p>
    <w:p>
      <w:pPr>
        <w:widowControl/>
        <w:jc w:val="left"/>
        <w:rPr>
          <w:rFonts w:ascii="仿宋_GB2312" w:eastAsia="仿宋_GB2312"/>
          <w:color w:val="FF0000"/>
          <w:kern w:val="0"/>
          <w:sz w:val="30"/>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both"/>
        <w:outlineLvl w:val="0"/>
        <w:rPr>
          <w:rFonts w:hint="eastAsia" w:ascii="黑体" w:hAnsi="黑体" w:eastAsia="黑体"/>
          <w:sz w:val="44"/>
          <w:szCs w:val="44"/>
        </w:rPr>
      </w:pPr>
    </w:p>
    <w:p>
      <w:pPr>
        <w:pStyle w:val="2"/>
        <w:rPr>
          <w:rFonts w:hint="eastAsia"/>
        </w:rPr>
      </w:pPr>
    </w:p>
    <w:p>
      <w:pPr>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8"/>
      <w:bookmarkEnd w:id="59"/>
      <w:bookmarkStart w:id="60"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5"/>
          <w:rFonts w:hint="eastAsia" w:ascii="仿宋" w:hAnsi="仿宋" w:eastAsia="仿宋"/>
          <w:b w:val="0"/>
          <w:bCs w:val="0"/>
        </w:rPr>
        <w:t>入决算表</w:t>
      </w:r>
      <w:bookmarkEnd w:id="61"/>
    </w:p>
    <w:p>
      <w:pPr>
        <w:pStyle w:val="4"/>
        <w:rPr>
          <w:rFonts w:ascii="仿宋" w:hAnsi="仿宋" w:eastAsia="仿宋"/>
        </w:rPr>
      </w:pPr>
      <w:bookmarkStart w:id="6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3"/>
    </w:p>
    <w:p>
      <w:pPr>
        <w:pStyle w:val="4"/>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5"/>
          <w:rFonts w:hint="eastAsia" w:ascii="仿宋" w:hAnsi="仿宋" w:eastAsia="仿宋"/>
          <w:b w:val="0"/>
          <w:bCs w:val="0"/>
        </w:rPr>
        <w:t>十、</w:t>
      </w:r>
      <w:bookmarkEnd w:id="69"/>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70" w:name="_Toc15396629"/>
      <w:r>
        <w:rPr>
          <w:rStyle w:val="25"/>
          <w:rFonts w:hint="eastAsia" w:ascii="仿宋" w:hAnsi="仿宋" w:eastAsia="仿宋"/>
          <w:b w:val="0"/>
          <w:bCs w:val="0"/>
        </w:rPr>
        <w:t>十一、</w:t>
      </w:r>
      <w:bookmarkEnd w:id="70"/>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71" w:name="_Toc15396630"/>
      <w:r>
        <w:rPr>
          <w:rStyle w:val="25"/>
          <w:rFonts w:hint="eastAsia" w:ascii="仿宋" w:hAnsi="仿宋" w:eastAsia="仿宋"/>
          <w:b w:val="0"/>
          <w:bCs w:val="0"/>
        </w:rPr>
        <w:t>十二、</w:t>
      </w:r>
      <w:bookmarkEnd w:id="71"/>
      <w:r>
        <w:rPr>
          <w:rStyle w:val="25"/>
          <w:rFonts w:hint="eastAsia" w:ascii="仿宋" w:hAnsi="仿宋" w:eastAsia="仿宋"/>
          <w:b w:val="0"/>
          <w:bCs w:val="0"/>
        </w:rPr>
        <w:t>国有资本经营预算财政拨款支出决算表</w:t>
      </w:r>
    </w:p>
    <w:p>
      <w:pPr>
        <w:pStyle w:val="4"/>
        <w:rPr>
          <w:rFonts w:eastAsia="仿宋"/>
        </w:rPr>
      </w:pPr>
      <w:bookmarkStart w:id="72" w:name="_Toc15396631"/>
      <w:r>
        <w:rPr>
          <w:rStyle w:val="25"/>
          <w:rFonts w:hint="eastAsia" w:ascii="仿宋" w:hAnsi="仿宋" w:eastAsia="仿宋"/>
          <w:b w:val="0"/>
          <w:bCs w:val="0"/>
        </w:rPr>
        <w:t>十三、</w:t>
      </w:r>
      <w:bookmarkEnd w:id="72"/>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zllMmEwMDg5ZWM2ZDViN2RhNTVhOWZlNjI3MTIifQ=="/>
  </w:docVars>
  <w:rsids>
    <w:rsidRoot w:val="00F1361C"/>
    <w:rsid w:val="000222C6"/>
    <w:rsid w:val="0002549F"/>
    <w:rsid w:val="000261C7"/>
    <w:rsid w:val="0004133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4AEE"/>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0519"/>
    <w:rsid w:val="00951248"/>
    <w:rsid w:val="0095152F"/>
    <w:rsid w:val="00954C49"/>
    <w:rsid w:val="00955E37"/>
    <w:rsid w:val="0097099F"/>
    <w:rsid w:val="00971997"/>
    <w:rsid w:val="00971FFC"/>
    <w:rsid w:val="0098660A"/>
    <w:rsid w:val="009931C3"/>
    <w:rsid w:val="009B2C43"/>
    <w:rsid w:val="009B4EAE"/>
    <w:rsid w:val="009B7573"/>
    <w:rsid w:val="009B7E9B"/>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A69"/>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F5F23"/>
    <w:rsid w:val="01B73490"/>
    <w:rsid w:val="03145BF8"/>
    <w:rsid w:val="065165FA"/>
    <w:rsid w:val="0A2032A3"/>
    <w:rsid w:val="0A3E36F7"/>
    <w:rsid w:val="0B8A37D8"/>
    <w:rsid w:val="0BFC7617"/>
    <w:rsid w:val="0CA041F5"/>
    <w:rsid w:val="0CB3780E"/>
    <w:rsid w:val="0E585C6F"/>
    <w:rsid w:val="10240C99"/>
    <w:rsid w:val="10C055FF"/>
    <w:rsid w:val="118107EC"/>
    <w:rsid w:val="11DD6519"/>
    <w:rsid w:val="12421388"/>
    <w:rsid w:val="150618FC"/>
    <w:rsid w:val="16BB723D"/>
    <w:rsid w:val="18015F3F"/>
    <w:rsid w:val="19B41B1A"/>
    <w:rsid w:val="1A5A2DE1"/>
    <w:rsid w:val="1ABA1ACF"/>
    <w:rsid w:val="1BE8440E"/>
    <w:rsid w:val="1C397D10"/>
    <w:rsid w:val="1D155CEE"/>
    <w:rsid w:val="20564E9E"/>
    <w:rsid w:val="20F57F95"/>
    <w:rsid w:val="21C3683E"/>
    <w:rsid w:val="232B2612"/>
    <w:rsid w:val="240371BF"/>
    <w:rsid w:val="246456B0"/>
    <w:rsid w:val="25566A31"/>
    <w:rsid w:val="25711CC6"/>
    <w:rsid w:val="25C741E6"/>
    <w:rsid w:val="2611159E"/>
    <w:rsid w:val="26AC0B2A"/>
    <w:rsid w:val="27842671"/>
    <w:rsid w:val="28610884"/>
    <w:rsid w:val="29A62ABE"/>
    <w:rsid w:val="29AE7AF9"/>
    <w:rsid w:val="29F215F7"/>
    <w:rsid w:val="29FD04D3"/>
    <w:rsid w:val="2A4A7772"/>
    <w:rsid w:val="2AA66A22"/>
    <w:rsid w:val="2ABE7A3E"/>
    <w:rsid w:val="2AFB497B"/>
    <w:rsid w:val="2CA234A8"/>
    <w:rsid w:val="2E235D42"/>
    <w:rsid w:val="2EA45C37"/>
    <w:rsid w:val="2EA63495"/>
    <w:rsid w:val="2EFA178C"/>
    <w:rsid w:val="2EFF2BA5"/>
    <w:rsid w:val="30B46D73"/>
    <w:rsid w:val="31351380"/>
    <w:rsid w:val="319F7F4E"/>
    <w:rsid w:val="34B2145C"/>
    <w:rsid w:val="359C73A0"/>
    <w:rsid w:val="35B46497"/>
    <w:rsid w:val="3623361D"/>
    <w:rsid w:val="37612944"/>
    <w:rsid w:val="383D272C"/>
    <w:rsid w:val="39AE70AB"/>
    <w:rsid w:val="3C0C0783"/>
    <w:rsid w:val="3DE04ECC"/>
    <w:rsid w:val="3F9F3A96"/>
    <w:rsid w:val="405E3F5D"/>
    <w:rsid w:val="44971BAF"/>
    <w:rsid w:val="44A8366B"/>
    <w:rsid w:val="44B93309"/>
    <w:rsid w:val="46922183"/>
    <w:rsid w:val="47B37163"/>
    <w:rsid w:val="47FB61A8"/>
    <w:rsid w:val="48BF60AB"/>
    <w:rsid w:val="49285F5B"/>
    <w:rsid w:val="493C27E9"/>
    <w:rsid w:val="496F39ED"/>
    <w:rsid w:val="49FF41D3"/>
    <w:rsid w:val="4A617FE4"/>
    <w:rsid w:val="4BE068DB"/>
    <w:rsid w:val="4BF6002B"/>
    <w:rsid w:val="4E016D8D"/>
    <w:rsid w:val="4ECE2238"/>
    <w:rsid w:val="4F670C55"/>
    <w:rsid w:val="4F6F0DA7"/>
    <w:rsid w:val="50864F97"/>
    <w:rsid w:val="51DB4B86"/>
    <w:rsid w:val="53046E50"/>
    <w:rsid w:val="53150CB6"/>
    <w:rsid w:val="53F365F3"/>
    <w:rsid w:val="550D66D8"/>
    <w:rsid w:val="55333C3E"/>
    <w:rsid w:val="572A6CCC"/>
    <w:rsid w:val="57BA74C6"/>
    <w:rsid w:val="592941F7"/>
    <w:rsid w:val="5B3B68B4"/>
    <w:rsid w:val="5BC000AB"/>
    <w:rsid w:val="5BE95202"/>
    <w:rsid w:val="5C2F265D"/>
    <w:rsid w:val="5C5A1297"/>
    <w:rsid w:val="5EAC3900"/>
    <w:rsid w:val="5EF84D97"/>
    <w:rsid w:val="5F6B0B82"/>
    <w:rsid w:val="5F6E2873"/>
    <w:rsid w:val="5FCD57DA"/>
    <w:rsid w:val="64CA39A1"/>
    <w:rsid w:val="64ED59C5"/>
    <w:rsid w:val="67A4786A"/>
    <w:rsid w:val="68E53D82"/>
    <w:rsid w:val="68F06778"/>
    <w:rsid w:val="69630ADE"/>
    <w:rsid w:val="6AFF627F"/>
    <w:rsid w:val="6BB9765C"/>
    <w:rsid w:val="6C4A05C8"/>
    <w:rsid w:val="6C506213"/>
    <w:rsid w:val="6CAB3449"/>
    <w:rsid w:val="6D3B1A89"/>
    <w:rsid w:val="6DC334E2"/>
    <w:rsid w:val="6E5E1250"/>
    <w:rsid w:val="6FFF2B0C"/>
    <w:rsid w:val="70FA499F"/>
    <w:rsid w:val="717450A9"/>
    <w:rsid w:val="71BF4EC2"/>
    <w:rsid w:val="72734D90"/>
    <w:rsid w:val="73D96AEE"/>
    <w:rsid w:val="73ED5DA0"/>
    <w:rsid w:val="7412278C"/>
    <w:rsid w:val="75DF0C59"/>
    <w:rsid w:val="777F7DA9"/>
    <w:rsid w:val="78484ED3"/>
    <w:rsid w:val="795310F0"/>
    <w:rsid w:val="79E7B28D"/>
    <w:rsid w:val="7A3E0998"/>
    <w:rsid w:val="7E6527B8"/>
    <w:rsid w:val="7F731BF7"/>
    <w:rsid w:val="7F9F20EE"/>
    <w:rsid w:val="7FFFABD2"/>
    <w:rsid w:val="97DB7CE1"/>
    <w:rsid w:val="9E3A10E2"/>
    <w:rsid w:val="BF7F1B4B"/>
    <w:rsid w:val="F2E1F9D4"/>
    <w:rsid w:val="F7880819"/>
    <w:rsid w:val="FFAE15F1"/>
    <w:rsid w:val="FFF562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Header Char1"/>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Footer Char1"/>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Body Text Char1"/>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Heading 1 Char"/>
    <w:basedOn w:val="13"/>
    <w:link w:val="3"/>
    <w:qFormat/>
    <w:uiPriority w:val="9"/>
    <w:rPr>
      <w:rFonts w:ascii="Times New Roman" w:hAnsi="Times New Roman"/>
      <w:b/>
      <w:bCs/>
      <w:kern w:val="44"/>
      <w:sz w:val="44"/>
      <w:szCs w:val="44"/>
    </w:rPr>
  </w:style>
  <w:style w:type="character" w:customStyle="1" w:styleId="25">
    <w:name w:val="Heading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Balloon Text Char"/>
    <w:basedOn w:val="13"/>
    <w:link w:val="7"/>
    <w:semiHidden/>
    <w:qFormat/>
    <w:uiPriority w:val="99"/>
    <w:rPr>
      <w:rFonts w:ascii="Times New Roman" w:hAnsi="Times New Roman"/>
      <w:kern w:val="2"/>
      <w:sz w:val="18"/>
      <w:szCs w:val="18"/>
    </w:rPr>
  </w:style>
  <w:style w:type="character" w:customStyle="1" w:styleId="28">
    <w:name w:val="Heading 3 Char"/>
    <w:basedOn w:val="13"/>
    <w:link w:val="5"/>
    <w:qFormat/>
    <w:uiPriority w:val="9"/>
    <w:rPr>
      <w:rFonts w:ascii="Times New Roman" w:hAnsi="Times New Roman"/>
      <w:b/>
      <w:bCs/>
      <w:kern w:val="2"/>
      <w:sz w:val="32"/>
      <w:szCs w:val="32"/>
    </w:rPr>
  </w:style>
  <w:style w:type="paragraph" w:customStyle="1" w:styleId="29">
    <w:name w:val="TOC Heading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https://myoffice.accenture.com/personal/yaosheng_yu_accenture_com/Documents/Desktop/temp/wenwen/0817/&#22270;&#24418;1%20-%20Copy.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https://myoffice.accenture.com/personal/yaosheng_yu_accenture_com/Documents/Desktop/temp/wenwen/0817/&#22270;&#24418;1%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05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sz="1050">
                <a:latin typeface="仿宋" panose="02010609060101010101" pitchFamily="3" charset="-122"/>
                <a:ea typeface="仿宋" panose="02010609060101010101" pitchFamily="3" charset="-122"/>
              </a:rPr>
              <a:t>单位</a:t>
            </a:r>
            <a:r>
              <a:rPr lang="en-US" altLang="zh-CN" sz="1050">
                <a:latin typeface="仿宋" panose="02010609060101010101" pitchFamily="3" charset="-122"/>
                <a:ea typeface="仿宋" panose="02010609060101010101" pitchFamily="3" charset="-122"/>
              </a:rPr>
              <a:t>:</a:t>
            </a:r>
            <a:r>
              <a:rPr lang="zh-CN" altLang="en-US" sz="1050">
                <a:latin typeface="仿宋" panose="02010609060101010101" pitchFamily="3" charset="-122"/>
                <a:ea typeface="仿宋" panose="02010609060101010101" pitchFamily="3" charset="-122"/>
              </a:rPr>
              <a:t>万元</a:t>
            </a:r>
            <a:endParaRPr lang="en-US" altLang="zh-CN" sz="1050">
              <a:latin typeface="仿宋" panose="02010609060101010101" pitchFamily="3" charset="-122"/>
              <a:ea typeface="仿宋" panose="02010609060101010101" pitchFamily="3" charset="-122"/>
            </a:endParaRPr>
          </a:p>
        </c:rich>
      </c:tx>
      <c:layout>
        <c:manualLayout>
          <c:xMode val="edge"/>
          <c:yMode val="edge"/>
          <c:x val="0.790441690947402"/>
          <c:y val="0.0340425645979442"/>
        </c:manualLayout>
      </c:layout>
      <c:overlay val="false"/>
      <c:spPr>
        <a:noFill/>
        <a:ln>
          <a:noFill/>
        </a:ln>
        <a:effectLst/>
      </c:spPr>
    </c:title>
    <c:autoTitleDeleted val="false"/>
    <c:plotArea>
      <c:layout/>
      <c:barChart>
        <c:barDir val="col"/>
        <c:grouping val="clustered"/>
        <c:varyColors val="false"/>
        <c:ser>
          <c:idx val="0"/>
          <c:order val="0"/>
          <c:tx>
            <c:strRef>
              <c:f>'[图形1 - Copy.xlsx]Sheet1'!$A$2</c:f>
              <c:strCache>
                <c:ptCount val="1"/>
                <c:pt idx="0">
                  <c:v>2021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Copy.xlsx]Sheet1'!$B$1</c:f>
              <c:strCache>
                <c:ptCount val="1"/>
                <c:pt idx="0">
                  <c:v>金额</c:v>
                </c:pt>
              </c:strCache>
            </c:strRef>
          </c:cat>
          <c:val>
            <c:numRef>
              <c:f>'[图形1 - Copy.xlsx]Sheet1'!$B$2</c:f>
              <c:numCache>
                <c:formatCode>General</c:formatCode>
                <c:ptCount val="1"/>
                <c:pt idx="0">
                  <c:v>1308.31</c:v>
                </c:pt>
              </c:numCache>
            </c:numRef>
          </c:val>
        </c:ser>
        <c:ser>
          <c:idx val="1"/>
          <c:order val="1"/>
          <c:tx>
            <c:strRef>
              <c:f>'[图形1 - Copy.xlsx]Sheet1'!$A$3</c:f>
              <c:strCache>
                <c:ptCount val="1"/>
                <c:pt idx="0">
                  <c:v>2022</c:v>
                </c:pt>
              </c:strCache>
            </c:strRef>
          </c:tx>
          <c:spPr>
            <a:solidFill>
              <a:schemeClr val="accent4">
                <a:lumMod val="50000"/>
              </a:schemeClr>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Copy.xlsx]Sheet1'!$B$1</c:f>
              <c:strCache>
                <c:ptCount val="1"/>
                <c:pt idx="0">
                  <c:v>金额</c:v>
                </c:pt>
              </c:strCache>
            </c:strRef>
          </c:cat>
          <c:val>
            <c:numRef>
              <c:f>'[图形1 - Copy.xlsx]Sheet1'!$B$3</c:f>
              <c:numCache>
                <c:formatCode>General</c:formatCode>
                <c:ptCount val="1"/>
                <c:pt idx="0">
                  <c:v>1173.63</c:v>
                </c:pt>
              </c:numCache>
            </c:numRef>
          </c:val>
        </c:ser>
        <c:dLbls>
          <c:showLegendKey val="false"/>
          <c:showVal val="true"/>
          <c:showCatName val="false"/>
          <c:showSerName val="false"/>
          <c:showPercent val="false"/>
          <c:showBubbleSize val="false"/>
        </c:dLbls>
        <c:gapWidth val="219"/>
        <c:overlap val="-27"/>
        <c:axId val="2114537807"/>
        <c:axId val="2114531151"/>
      </c:barChart>
      <c:catAx>
        <c:axId val="2114537807"/>
        <c:scaling>
          <c:orientation val="minMax"/>
        </c:scaling>
        <c:delete val="true"/>
        <c:axPos val="b"/>
        <c:title>
          <c:tx>
            <c:rich>
              <a:bodyPr rot="0" spcFirstLastPara="1" vertOverflow="ellipsis" vert="horz" wrap="square" anchor="ctr" anchorCtr="true"/>
              <a:lstStyle/>
              <a:p>
                <a:pPr>
                  <a:defRPr lang="zh-CN" sz="12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zh-CN" sz="1200" b="0" i="0" baseline="0">
                    <a:effectLst/>
                    <a:latin typeface="仿宋" panose="02010609060101010101" pitchFamily="3" charset="-122"/>
                    <a:ea typeface="仿宋" panose="02010609060101010101" pitchFamily="3" charset="-122"/>
                  </a:rPr>
                  <a:t>收支决算总计变动情况</a:t>
                </a:r>
                <a:r>
                  <a:rPr lang="zh-CN" altLang="en-US" sz="1200" b="0" i="0" baseline="0">
                    <a:effectLst/>
                    <a:latin typeface="仿宋" panose="02010609060101010101" pitchFamily="3" charset="-122"/>
                    <a:ea typeface="仿宋" panose="02010609060101010101" pitchFamily="3" charset="-122"/>
                  </a:rPr>
                  <a:t>图</a:t>
                </a:r>
                <a:endParaRPr lang="zh-CN" altLang="zh-CN" sz="1200">
                  <a:effectLst/>
                  <a:latin typeface="仿宋" panose="02010609060101010101" pitchFamily="3" charset="-122"/>
                  <a:ea typeface="仿宋" panose="02010609060101010101" pitchFamily="3" charset="-122"/>
                </a:endParaRPr>
              </a:p>
            </c:rich>
          </c:tx>
          <c:layout/>
          <c:overlay val="false"/>
          <c:spPr>
            <a:noFill/>
            <a:ln>
              <a:noFill/>
            </a:ln>
            <a:effectLst/>
          </c:spPr>
        </c:title>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14531151"/>
        <c:crosses val="autoZero"/>
        <c:auto val="true"/>
        <c:lblAlgn val="ctr"/>
        <c:lblOffset val="100"/>
        <c:noMultiLvlLbl val="false"/>
      </c:catAx>
      <c:valAx>
        <c:axId val="21145311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14537807"/>
        <c:crosses val="autoZero"/>
        <c:crossBetween val="between"/>
      </c:valAx>
      <c:spPr>
        <a:noFill/>
        <a:ln>
          <a:noFill/>
        </a:ln>
        <a:effectLst/>
      </c:spPr>
    </c:plotArea>
    <c:legend>
      <c:legendPos val="b"/>
      <c:layout>
        <c:manualLayout>
          <c:xMode val="edge"/>
          <c:yMode val="edge"/>
          <c:x val="0.400689413823272"/>
          <c:y val="0.866318897637795"/>
          <c:w val="0.17286458910946"/>
          <c:h val="0.0718090372957069"/>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1"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sz="1400">
                <a:latin typeface="仿宋" panose="02010609060101010101" pitchFamily="3" charset="-122"/>
                <a:ea typeface="仿宋" panose="02010609060101010101" pitchFamily="3" charset="-122"/>
              </a:rPr>
              <a:t>收入</a:t>
            </a:r>
            <a:r>
              <a:rPr lang="zh-CN" altLang="en-US" sz="1400">
                <a:latin typeface="仿宋" panose="02010609060101010101" pitchFamily="3" charset="-122"/>
                <a:ea typeface="仿宋" panose="02010609060101010101" pitchFamily="3" charset="-122"/>
              </a:rPr>
              <a:t>决算</a:t>
            </a:r>
            <a:r>
              <a:rPr lang="zh-CN" sz="1400">
                <a:latin typeface="仿宋" panose="02010609060101010101" pitchFamily="3" charset="-122"/>
                <a:ea typeface="仿宋" panose="02010609060101010101" pitchFamily="3" charset="-122"/>
              </a:rPr>
              <a:t>结构图</a:t>
            </a:r>
            <a:endParaRPr lang="en-US" sz="1400">
              <a:latin typeface="仿宋" panose="02010609060101010101" pitchFamily="3" charset="-122"/>
              <a:ea typeface="仿宋" panose="02010609060101010101" pitchFamily="3" charset="-122"/>
            </a:endParaRPr>
          </a:p>
        </c:rich>
      </c:tx>
      <c:layout/>
      <c:overlay val="false"/>
      <c:spPr>
        <a:noFill/>
        <a:ln>
          <a:noFill/>
        </a:ln>
        <a:effectLst/>
      </c:spPr>
    </c:title>
    <c:autoTitleDeleted val="false"/>
    <c:plotArea>
      <c:layout/>
      <c:pieChart>
        <c:varyColors val="true"/>
        <c:ser>
          <c:idx val="0"/>
          <c:order val="0"/>
          <c:spPr/>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Copy.xlsx]Sheet2'!$A$1</c:f>
              <c:strCache>
                <c:ptCount val="1"/>
                <c:pt idx="0">
                  <c:v>一般公共预算财政拨款收入</c:v>
                </c:pt>
              </c:strCache>
            </c:strRef>
          </c:cat>
          <c:val>
            <c:numRef>
              <c:f>'[图形1 - Copy.xlsx]Sheet2'!$B$1</c:f>
              <c:numCache>
                <c:formatCode>General</c:formatCode>
                <c:ptCount val="1"/>
                <c:pt idx="0">
                  <c:v>1173.63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260" b="1" i="0" u="none" strike="noStrike" kern="1200" baseline="0">
                <a:solidFill>
                  <a:schemeClr val="tx2"/>
                </a:solidFill>
                <a:latin typeface="仿宋" panose="02010609060101010101" pitchFamily="3" charset="-122"/>
                <a:ea typeface="仿宋" panose="02010609060101010101" pitchFamily="3" charset="-122"/>
                <a:cs typeface="+mn-cs"/>
              </a:defRPr>
            </a:pPr>
            <a:r>
              <a:rPr lang="zh-CN"/>
              <a:t>决算支出结构图</a:t>
            </a:r>
            <a:endParaRPr lang="en-US"/>
          </a:p>
        </c:rich>
      </c:tx>
      <c:layout/>
      <c:overlay val="false"/>
      <c:spPr>
        <a:noFill/>
        <a:ln>
          <a:noFill/>
        </a:ln>
        <a:effectLst/>
      </c:spPr>
    </c:title>
    <c:autoTitleDeleted val="false"/>
    <c:plotArea>
      <c:layout/>
      <c:pieChart>
        <c:varyColors val="true"/>
        <c:ser>
          <c:idx val="0"/>
          <c:order val="0"/>
          <c:spPr>
            <a:ln>
              <a:solidFill>
                <a:schemeClr val="accent1"/>
              </a:solidFill>
            </a:ln>
          </c:spPr>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solidFill>
                  <a:schemeClr val="accent1"/>
                </a:solidFill>
              </a:ln>
              <a:effectLst/>
            </c:spPr>
          </c:dPt>
          <c:dPt>
            <c:idx val="1"/>
            <c:bubble3D val="false"/>
            <c:spPr>
              <a:solidFill>
                <a:schemeClr val="accent2">
                  <a:lumMod val="75000"/>
                </a:schemeClr>
              </a:solidFill>
              <a:ln>
                <a:noFill/>
              </a:ln>
              <a:effectLst/>
            </c:spPr>
          </c:dPt>
          <c:dLbls>
            <c:numFmt formatCode="0.00%" sourceLinked="false"/>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tx2"/>
                    </a:solidFill>
                    <a:latin typeface="仿宋" panose="02010609060101010101" pitchFamily="3" charset="-122"/>
                    <a:ea typeface="仿宋" panose="02010609060101010101" pitchFamily="3" charset="-122"/>
                    <a:cs typeface="+mn-cs"/>
                  </a:defRPr>
                </a:pPr>
              </a:p>
            </c:txPr>
            <c:dLblPos val="bestFit"/>
            <c:showLegendKey val="false"/>
            <c:showVal val="false"/>
            <c:showCatName val="fals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'[图形1 - Copy.xlsx]Sheet3'!$A$1:$A$2</c:f>
              <c:strCache>
                <c:ptCount val="2"/>
                <c:pt idx="0">
                  <c:v>基本支出</c:v>
                </c:pt>
                <c:pt idx="1">
                  <c:v>项目支出</c:v>
                </c:pt>
              </c:strCache>
            </c:strRef>
          </c:cat>
          <c:val>
            <c:numRef>
              <c:f>'[图形1 - Copy.xlsx]Sheet3'!$B$1:$B$2</c:f>
              <c:numCache>
                <c:formatCode>General</c:formatCode>
                <c:ptCount val="2"/>
                <c:pt idx="0">
                  <c:v>867.6</c:v>
                </c:pt>
                <c:pt idx="1">
                  <c:v>111.21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1050" b="0" i="0" u="none" strike="noStrike" kern="1200" baseline="0">
              <a:solidFill>
                <a:schemeClr val="tx2"/>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solidFill>
      <a:schemeClr val="bg1"/>
    </a:solidFill>
    <a:ln w="9525" cap="flat" cmpd="sng" algn="ctr">
      <a:solidFill>
        <a:schemeClr val="tx2">
          <a:lumMod val="15000"/>
          <a:lumOff val="85000"/>
        </a:schemeClr>
      </a:solidFill>
      <a:round/>
    </a:ln>
    <a:effectLst/>
  </c:spPr>
  <c:txPr>
    <a:bodyPr/>
    <a:lstStyle/>
    <a:p>
      <a:pPr>
        <a:defRPr lang="zh-CN" sz="1050">
          <a:latin typeface="仿宋" panose="02010609060101010101" pitchFamily="3" charset="-122"/>
          <a:ea typeface="仿宋" panose="02010609060101010101" pitchFamily="3"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26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t>单位：万元</a:t>
            </a:r>
            <a:endParaRPr lang="en-US"/>
          </a:p>
        </c:rich>
      </c:tx>
      <c:layout>
        <c:manualLayout>
          <c:xMode val="edge"/>
          <c:yMode val="edge"/>
          <c:x val="0.792429792429792"/>
          <c:y val="0.0416666666666667"/>
        </c:manualLayout>
      </c:layout>
      <c:overlay val="false"/>
      <c:spPr>
        <a:noFill/>
        <a:ln>
          <a:noFill/>
        </a:ln>
        <a:effectLst/>
      </c:spPr>
    </c:title>
    <c:autoTitleDeleted val="false"/>
    <c:plotArea>
      <c:layout/>
      <c:barChart>
        <c:barDir val="col"/>
        <c:grouping val="clustered"/>
        <c:varyColors val="false"/>
        <c:ser>
          <c:idx val="0"/>
          <c:order val="0"/>
          <c:tx>
            <c:strRef>
              <c:f>'[图形1 - Copy.xlsx]Sheet4'!$B$1</c:f>
              <c:strCache>
                <c:ptCount val="1"/>
                <c:pt idx="0">
                  <c:v>2021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Copy.xlsx]Sheet4'!$A$2</c:f>
              <c:strCache>
                <c:ptCount val="1"/>
                <c:pt idx="0">
                  <c:v>金额</c:v>
                </c:pt>
              </c:strCache>
            </c:strRef>
          </c:cat>
          <c:val>
            <c:numRef>
              <c:f>'[图形1 - Copy.xlsx]Sheet4'!$B$2</c:f>
              <c:numCache>
                <c:formatCode>General</c:formatCode>
                <c:ptCount val="1"/>
                <c:pt idx="0">
                  <c:v>1308.31</c:v>
                </c:pt>
              </c:numCache>
            </c:numRef>
          </c:val>
        </c:ser>
        <c:ser>
          <c:idx val="1"/>
          <c:order val="1"/>
          <c:tx>
            <c:strRef>
              <c:f>'[图形1 - Copy.xlsx]Sheet4'!$C$1</c:f>
              <c:strCache>
                <c:ptCount val="1"/>
                <c:pt idx="0">
                  <c:v>2022</c:v>
                </c:pt>
              </c:strCache>
            </c:strRef>
          </c:tx>
          <c:spPr>
            <a:solidFill>
              <a:schemeClr val="accent4">
                <a:lumMod val="50000"/>
              </a:schemeClr>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Copy.xlsx]Sheet4'!$A$2</c:f>
              <c:strCache>
                <c:ptCount val="1"/>
                <c:pt idx="0">
                  <c:v>金额</c:v>
                </c:pt>
              </c:strCache>
            </c:strRef>
          </c:cat>
          <c:val>
            <c:numRef>
              <c:f>'[图形1 - Copy.xlsx]Sheet4'!$C$2</c:f>
              <c:numCache>
                <c:formatCode>General</c:formatCode>
                <c:ptCount val="1"/>
                <c:pt idx="0">
                  <c:v>1173.63</c:v>
                </c:pt>
              </c:numCache>
            </c:numRef>
          </c:val>
        </c:ser>
        <c:dLbls>
          <c:showLegendKey val="false"/>
          <c:showVal val="true"/>
          <c:showCatName val="false"/>
          <c:showSerName val="false"/>
          <c:showPercent val="false"/>
          <c:showBubbleSize val="false"/>
        </c:dLbls>
        <c:gapWidth val="219"/>
        <c:overlap val="-27"/>
        <c:axId val="1096500607"/>
        <c:axId val="1096500191"/>
      </c:barChart>
      <c:catAx>
        <c:axId val="1096500607"/>
        <c:scaling>
          <c:orientation val="minMax"/>
        </c:scaling>
        <c:delete val="true"/>
        <c:axPos val="b"/>
        <c:title>
          <c:tx>
            <c:rich>
              <a:bodyPr rot="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zh-CN" sz="1050" b="0" i="0" u="none" strike="noStrike" baseline="0">
                    <a:effectLst/>
                  </a:rPr>
                  <a:t>财政拨款收、支决算总计变动情况</a:t>
                </a:r>
                <a:endParaRPr lang="en-US"/>
              </a:p>
            </c:rich>
          </c:tx>
          <c:layout>
            <c:manualLayout>
              <c:xMode val="edge"/>
              <c:yMode val="edge"/>
              <c:x val="0.294296866737812"/>
              <c:y val="0.785068897637795"/>
            </c:manualLayout>
          </c:layout>
          <c:overlay val="false"/>
          <c:spPr>
            <a:noFill/>
            <a:ln>
              <a:noFill/>
            </a:ln>
            <a:effectLst/>
          </c:spPr>
        </c:title>
        <c:numFmt formatCode="General" sourceLinked="true"/>
        <c:majorTickMark val="none"/>
        <c:minorTickMark val="none"/>
        <c:tickLblPos val="nextTo"/>
        <c:txPr>
          <a:bodyPr rot="-60000000" spcFirstLastPara="0"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crossAx val="1096500191"/>
        <c:crosses val="autoZero"/>
        <c:auto val="true"/>
        <c:lblAlgn val="ctr"/>
        <c:lblOffset val="100"/>
        <c:noMultiLvlLbl val="false"/>
      </c:catAx>
      <c:valAx>
        <c:axId val="10965001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crossAx val="1096500607"/>
        <c:crosses val="autoZero"/>
        <c:crossBetween val="between"/>
      </c:valAx>
      <c:spPr>
        <a:noFill/>
        <a:ln>
          <a:noFill/>
        </a:ln>
        <a:effectLst/>
      </c:spPr>
    </c:plotArea>
    <c:legend>
      <c:legendPos val="b"/>
      <c:layout>
        <c:manualLayout>
          <c:xMode val="edge"/>
          <c:yMode val="edge"/>
          <c:x val="0.41757799505831"/>
          <c:y val="0.866318897637795"/>
          <c:w val="0.178461538461538"/>
          <c:h val="0.0759025955088947"/>
        </c:manualLayout>
      </c:layout>
      <c:overlay val="false"/>
      <c:spPr>
        <a:noFill/>
        <a:ln>
          <a:noFill/>
        </a:ln>
        <a:effectLst/>
      </c:spPr>
      <c:txPr>
        <a:bodyPr rot="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050">
          <a:latin typeface="仿宋" panose="02010609060101010101" pitchFamily="3" charset="-122"/>
          <a:ea typeface="仿宋" panose="02010609060101010101" pitchFamily="3"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26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t>单位：万元</a:t>
            </a:r>
            <a:endParaRPr lang="en-US"/>
          </a:p>
        </c:rich>
      </c:tx>
      <c:layout>
        <c:manualLayout>
          <c:xMode val="edge"/>
          <c:yMode val="edge"/>
          <c:x val="0.792429792429792"/>
          <c:y val="0.0416666666666667"/>
        </c:manualLayout>
      </c:layout>
      <c:overlay val="false"/>
      <c:spPr>
        <a:noFill/>
        <a:ln>
          <a:noFill/>
        </a:ln>
        <a:effectLst/>
      </c:spPr>
    </c:title>
    <c:autoTitleDeleted val="false"/>
    <c:plotArea>
      <c:layout/>
      <c:barChart>
        <c:barDir val="col"/>
        <c:grouping val="clustered"/>
        <c:varyColors val="false"/>
        <c:ser>
          <c:idx val="0"/>
          <c:order val="0"/>
          <c:tx>
            <c:strRef>
              <c:f>'[图形1 - Copy.xlsx]Sheet4 (2)'!$B$1</c:f>
              <c:strCache>
                <c:ptCount val="1"/>
                <c:pt idx="0">
                  <c:v>2021</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Copy.xlsx]Sheet4 (2)'!$A$2</c:f>
              <c:strCache>
                <c:ptCount val="1"/>
                <c:pt idx="0">
                  <c:v>金额</c:v>
                </c:pt>
              </c:strCache>
            </c:strRef>
          </c:cat>
          <c:val>
            <c:numRef>
              <c:f>'[图形1 - Copy.xlsx]Sheet4 (2)'!$B$2</c:f>
              <c:numCache>
                <c:formatCode>General</c:formatCode>
                <c:ptCount val="1"/>
                <c:pt idx="0">
                  <c:v>1232.49</c:v>
                </c:pt>
              </c:numCache>
            </c:numRef>
          </c:val>
        </c:ser>
        <c:ser>
          <c:idx val="1"/>
          <c:order val="1"/>
          <c:tx>
            <c:strRef>
              <c:f>'[图形1 - Copy.xlsx]Sheet4 (2)'!$C$1</c:f>
              <c:strCache>
                <c:ptCount val="1"/>
                <c:pt idx="0">
                  <c:v>2022</c:v>
                </c:pt>
              </c:strCache>
            </c:strRef>
          </c:tx>
          <c:spPr>
            <a:solidFill>
              <a:schemeClr val="accent4">
                <a:lumMod val="50000"/>
              </a:schemeClr>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'[图形1 - Copy.xlsx]Sheet4 (2)'!$A$2</c:f>
              <c:strCache>
                <c:ptCount val="1"/>
                <c:pt idx="0">
                  <c:v>金额</c:v>
                </c:pt>
              </c:strCache>
            </c:strRef>
          </c:cat>
          <c:val>
            <c:numRef>
              <c:f>'[图形1 - Copy.xlsx]Sheet4 (2)'!$C$2</c:f>
              <c:numCache>
                <c:formatCode>General</c:formatCode>
                <c:ptCount val="1"/>
                <c:pt idx="0">
                  <c:v>978.81</c:v>
                </c:pt>
              </c:numCache>
            </c:numRef>
          </c:val>
        </c:ser>
        <c:dLbls>
          <c:showLegendKey val="false"/>
          <c:showVal val="true"/>
          <c:showCatName val="false"/>
          <c:showSerName val="false"/>
          <c:showPercent val="false"/>
          <c:showBubbleSize val="false"/>
        </c:dLbls>
        <c:gapWidth val="219"/>
        <c:overlap val="-27"/>
        <c:axId val="1096500607"/>
        <c:axId val="1096500191"/>
      </c:barChart>
      <c:catAx>
        <c:axId val="1096500607"/>
        <c:scaling>
          <c:orientation val="minMax"/>
        </c:scaling>
        <c:delete val="true"/>
        <c:axPos val="b"/>
        <c:title>
          <c:tx>
            <c:rich>
              <a:bodyPr rot="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t>一般公共预算财政拨款支出决算变动情况</a:t>
                </a:r>
                <a:endParaRPr lang="en-US"/>
              </a:p>
            </c:rich>
          </c:tx>
          <c:layout>
            <c:manualLayout>
              <c:xMode val="edge"/>
              <c:yMode val="edge"/>
              <c:x val="0.294296866737812"/>
              <c:y val="0.785068897637795"/>
            </c:manualLayout>
          </c:layout>
          <c:overlay val="false"/>
          <c:spPr>
            <a:noFill/>
            <a:ln>
              <a:noFill/>
            </a:ln>
            <a:effectLst/>
          </c:spPr>
        </c:title>
        <c:numFmt formatCode="General" sourceLinked="true"/>
        <c:majorTickMark val="none"/>
        <c:minorTickMark val="none"/>
        <c:tickLblPos val="nextTo"/>
        <c:txPr>
          <a:bodyPr rot="-60000000" spcFirstLastPara="0"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crossAx val="1096500191"/>
        <c:crosses val="autoZero"/>
        <c:auto val="true"/>
        <c:lblAlgn val="ctr"/>
        <c:lblOffset val="100"/>
        <c:noMultiLvlLbl val="false"/>
      </c:catAx>
      <c:valAx>
        <c:axId val="10965001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crossAx val="1096500607"/>
        <c:crosses val="autoZero"/>
        <c:crossBetween val="between"/>
      </c:valAx>
      <c:spPr>
        <a:noFill/>
        <a:ln>
          <a:noFill/>
        </a:ln>
        <a:effectLst/>
      </c:spPr>
    </c:plotArea>
    <c:legend>
      <c:legendPos val="b"/>
      <c:layout>
        <c:manualLayout>
          <c:xMode val="edge"/>
          <c:yMode val="edge"/>
          <c:x val="0.41757799505831"/>
          <c:y val="0.866318897637795"/>
          <c:w val="0.178461538461538"/>
          <c:h val="0.0759025955088947"/>
        </c:manualLayout>
      </c:layout>
      <c:overlay val="false"/>
      <c:spPr>
        <a:noFill/>
        <a:ln>
          <a:noFill/>
        </a:ln>
        <a:effectLst/>
      </c:spPr>
      <c:txPr>
        <a:bodyPr rot="0" spcFirstLastPara="1" vertOverflow="ellipsis" vert="horz" wrap="square" anchor="ctr" anchorCtr="true"/>
        <a:lstStyle/>
        <a:p>
          <a:pPr>
            <a:defRPr lang="zh-CN"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050">
          <a:latin typeface="仿宋" panose="02010609060101010101" pitchFamily="3" charset="-122"/>
          <a:ea typeface="仿宋" panose="02010609060101010101" pitchFamily="3"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260" b="1" i="0" u="none" strike="noStrike" kern="1200" spc="0" normalizeH="0" baseline="0">
                <a:solidFill>
                  <a:schemeClr val="dk1">
                    <a:lumMod val="50000"/>
                    <a:lumOff val="50000"/>
                  </a:schemeClr>
                </a:solidFill>
                <a:latin typeface="仿宋" panose="02010609060101010101" pitchFamily="3" charset="-122"/>
                <a:ea typeface="仿宋" panose="02010609060101010101" pitchFamily="3" charset="-122"/>
                <a:cs typeface="+mj-cs"/>
              </a:defRPr>
            </a:pPr>
            <a:r>
              <a:rPr lang="zh-CN"/>
              <a:t>一般公共预算财政拨款支出决算结构</a:t>
            </a:r>
            <a:endParaRPr lang="en-US"/>
          </a:p>
        </c:rich>
      </c:tx>
      <c:layout/>
      <c:overlay val="false"/>
      <c:spPr>
        <a:noFill/>
        <a:ln>
          <a:noFill/>
        </a:ln>
        <a:effectLst/>
      </c:spPr>
    </c:title>
    <c:autoTitleDeleted val="false"/>
    <c:plotArea>
      <c:layout/>
      <c:pieChart>
        <c:varyColors val="true"/>
        <c:ser>
          <c:idx val="0"/>
          <c:order val="0"/>
          <c:spPr/>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spPr>
              <a:gradFill>
                <a:gsLst>
                  <a:gs pos="100000">
                    <a:schemeClr val="accent3">
                      <a:lumMod val="60000"/>
                      <a:lumOff val="40000"/>
                    </a:schemeClr>
                  </a:gs>
                  <a:gs pos="0">
                    <a:schemeClr val="accent3"/>
                  </a:gs>
                </a:gsLst>
                <a:lin ang="5400000" scaled="false"/>
              </a:gradFill>
              <a:ln w="19050">
                <a:solidFill>
                  <a:schemeClr val="lt1"/>
                </a:solidFill>
              </a:ln>
              <a:effectLst/>
            </c:spPr>
          </c:dPt>
          <c:dPt>
            <c:idx val="3"/>
            <c:bubble3D val="false"/>
            <c:spPr>
              <a:gradFill>
                <a:gsLst>
                  <a:gs pos="100000">
                    <a:schemeClr val="accent4">
                      <a:lumMod val="60000"/>
                      <a:lumOff val="40000"/>
                    </a:schemeClr>
                  </a:gs>
                  <a:gs pos="0">
                    <a:schemeClr val="accent4"/>
                  </a:gs>
                </a:gsLst>
                <a:lin ang="5400000" scaled="false"/>
              </a:gradFill>
              <a:ln w="19050">
                <a:solidFill>
                  <a:schemeClr val="lt1"/>
                </a:solidFill>
              </a:ln>
              <a:effectLst/>
            </c:spPr>
          </c:dPt>
          <c:dLbls>
            <c:dLbl>
              <c:idx val="3"/>
              <c:layout>
                <c:manualLayout>
                  <c:x val="0.0399914698162729"/>
                  <c:y val="0.14013378536016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'[图形1 - Copy.xlsx]Sheet5'!$A$1:$A$4</c:f>
              <c:strCache>
                <c:ptCount val="4"/>
                <c:pt idx="0">
                  <c:v>一般公共服务（类）支出</c:v>
                </c:pt>
                <c:pt idx="1">
                  <c:v>社会保障和就业（类）支出</c:v>
                </c:pt>
                <c:pt idx="2">
                  <c:v>卫生健康支出</c:v>
                </c:pt>
                <c:pt idx="3">
                  <c:v>住房保障支出</c:v>
                </c:pt>
              </c:strCache>
            </c:strRef>
          </c:cat>
          <c:val>
            <c:numRef>
              <c:f>'[图形1 - Copy.xlsx]Sheet5'!$B$1:$B$4</c:f>
              <c:numCache>
                <c:formatCode>General</c:formatCode>
                <c:ptCount val="4"/>
                <c:pt idx="0">
                  <c:v>774.47</c:v>
                </c:pt>
                <c:pt idx="1">
                  <c:v>135.16</c:v>
                </c:pt>
                <c:pt idx="2">
                  <c:v>36.74</c:v>
                </c:pt>
                <c:pt idx="3">
                  <c:v>32.44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solidFill>
          <a:schemeClr val="lt1">
            <a:alpha val="50000"/>
          </a:schemeClr>
        </a:solidFill>
        <a:ln>
          <a:noFill/>
        </a:ln>
        <a:effectLst/>
      </c:spPr>
      <c:txPr>
        <a:bodyPr rot="0" spcFirstLastPara="1" vertOverflow="ellipsis" vert="horz" wrap="square" anchor="ctr" anchorCtr="true"/>
        <a:lstStyle/>
        <a:p>
          <a:pPr>
            <a:defRPr lang="zh-CN" sz="105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solidFill>
      <a:schemeClr val="bg1"/>
    </a:solidFill>
    <a:ln w="9525" cap="flat" cmpd="sng" algn="ctr">
      <a:solidFill>
        <a:schemeClr val="dk1">
          <a:lumMod val="15000"/>
          <a:lumOff val="85000"/>
        </a:schemeClr>
      </a:solidFill>
      <a:round/>
    </a:ln>
    <a:effectLst/>
  </c:spPr>
  <c:txPr>
    <a:bodyPr/>
    <a:lstStyle/>
    <a:p>
      <a:pPr>
        <a:defRPr lang="zh-CN" sz="1050">
          <a:latin typeface="仿宋" panose="02010609060101010101" pitchFamily="3" charset="-122"/>
          <a:ea typeface="仿宋" panose="02010609060101010101" pitchFamily="3"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260" b="1" i="0" u="none" strike="noStrike" kern="1200" spc="0" normalizeH="0" baseline="0">
                <a:solidFill>
                  <a:schemeClr val="dk1">
                    <a:lumMod val="50000"/>
                    <a:lumOff val="50000"/>
                  </a:schemeClr>
                </a:solidFill>
                <a:latin typeface="仿宋" panose="02010609060101010101" pitchFamily="3" charset="-122"/>
                <a:ea typeface="仿宋" panose="02010609060101010101" pitchFamily="3" charset="-122"/>
                <a:cs typeface="+mj-cs"/>
              </a:defRPr>
            </a:pPr>
            <a:r>
              <a:rPr lang="zh-CN"/>
              <a:t>“三公”经费财政拨款支出结构</a:t>
            </a:r>
            <a:endParaRPr lang="en-US"/>
          </a:p>
        </c:rich>
      </c:tx>
      <c:layout/>
      <c:overlay val="false"/>
      <c:spPr>
        <a:noFill/>
        <a:ln>
          <a:noFill/>
        </a:ln>
        <a:effectLst/>
      </c:spPr>
    </c:title>
    <c:autoTitleDeleted val="false"/>
    <c:plotArea>
      <c:layout/>
      <c:pieChart>
        <c:varyColors val="true"/>
        <c:ser>
          <c:idx val="0"/>
          <c:order val="0"/>
          <c:spPr/>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spPr>
              <a:gradFill>
                <a:gsLst>
                  <a:gs pos="100000">
                    <a:schemeClr val="accent3">
                      <a:lumMod val="60000"/>
                      <a:lumOff val="40000"/>
                    </a:schemeClr>
                  </a:gs>
                  <a:gs pos="0">
                    <a:schemeClr val="accent3"/>
                  </a:gs>
                </a:gsLst>
                <a:lin ang="5400000" scaled="false"/>
              </a:gradFill>
              <a:ln w="19050">
                <a:solidFill>
                  <a:schemeClr val="lt1"/>
                </a:solidFill>
              </a:ln>
              <a:effectLst/>
            </c:spPr>
          </c:dPt>
          <c:dLbls>
            <c:numFmt formatCode="0.00%" sourceLinked="false"/>
            <c:spPr>
              <a:noFill/>
              <a:ln>
                <a:noFill/>
              </a:ln>
              <a:effectLst/>
            </c:spPr>
            <c:txPr>
              <a:bodyPr rot="0" spcFirstLastPara="1" vertOverflow="ellipsis" vert="horz" wrap="square" lIns="38100" tIns="19050" rIns="38100" bIns="19050" anchor="ctr" anchorCtr="true"/>
              <a:lstStyle/>
              <a:p>
                <a:pPr>
                  <a:defRPr lang="zh-CN" sz="105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'[图形1 - Copy.xlsx]Sheet6'!$A$1:$A$3</c:f>
              <c:strCache>
                <c:ptCount val="3"/>
                <c:pt idx="0">
                  <c:v>因公出国（境）费支出</c:v>
                </c:pt>
                <c:pt idx="1">
                  <c:v>公务用车购置及运行维护费支出</c:v>
                </c:pt>
                <c:pt idx="2">
                  <c:v>公务接待费支出</c:v>
                </c:pt>
              </c:strCache>
            </c:strRef>
          </c:cat>
          <c:val>
            <c:numRef>
              <c:f>'[图形1 - Copy.xlsx]Sheet6'!$B$1:$B$3</c:f>
              <c:numCache>
                <c:formatCode>General</c:formatCode>
                <c:ptCount val="3"/>
                <c:pt idx="0">
                  <c:v>0</c:v>
                </c:pt>
                <c:pt idx="1" c:formatCode="0.00_ ">
                  <c:v>13.57</c:v>
                </c:pt>
                <c:pt idx="2" c:formatCode="0.00_ ">
                  <c:v>19.38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alpha val="50000"/>
          </a:schemeClr>
        </a:solidFill>
        <a:ln>
          <a:noFill/>
        </a:ln>
        <a:effectLst/>
      </c:spPr>
      <c:txPr>
        <a:bodyPr rot="0" spcFirstLastPara="1" vertOverflow="ellipsis" vert="horz" wrap="square" anchor="ctr" anchorCtr="true"/>
        <a:lstStyle/>
        <a:p>
          <a:pPr>
            <a:defRPr lang="zh-CN" sz="105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mn-cs"/>
            </a:defRPr>
          </a:pPr>
        </a:p>
      </c:txPr>
    </c:legend>
    <c:plotVisOnly val="true"/>
    <c:dispBlanksAs val="gap"/>
    <c:showDLblsOverMax val="false"/>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sz="1050">
          <a:latin typeface="仿宋" panose="02010609060101010101" pitchFamily="3" charset="-122"/>
          <a:ea typeface="仿宋" panose="02010609060101010101" pitchFamily="3"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8313</Words>
  <Characters>9291</Characters>
  <Lines>73</Lines>
  <Paragraphs>20</Paragraphs>
  <TotalTime>15</TotalTime>
  <ScaleCrop>false</ScaleCrop>
  <LinksUpToDate>false</LinksUpToDate>
  <CharactersWithSpaces>10006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2023-08-31T14:55:35Z</cp:lastPrinted>
  <dcterms:modified xsi:type="dcterms:W3CDTF">2023-08-31T15:02:55Z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E462A3B9D9C64EFAADD733FD33DAB66F_13</vt:lpwstr>
  </property>
</Properties>
</file>