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7EC" w:rsidRDefault="00B377EC">
      <w:pPr>
        <w:spacing w:line="600" w:lineRule="exact"/>
        <w:jc w:val="center"/>
        <w:outlineLvl w:val="0"/>
        <w:rPr>
          <w:rFonts w:ascii="方正小标宋简体" w:eastAsia="方正小标宋简体" w:hAnsi="宋体"/>
          <w:sz w:val="72"/>
          <w:szCs w:val="72"/>
        </w:rPr>
      </w:pPr>
      <w:bookmarkStart w:id="0" w:name="_Toc15306267"/>
    </w:p>
    <w:p w:rsidR="00B377EC" w:rsidRDefault="00B377EC">
      <w:pPr>
        <w:spacing w:line="600" w:lineRule="exact"/>
        <w:jc w:val="center"/>
        <w:outlineLvl w:val="0"/>
        <w:rPr>
          <w:rFonts w:ascii="方正小标宋简体" w:eastAsia="方正小标宋简体" w:hAnsi="宋体"/>
          <w:sz w:val="72"/>
          <w:szCs w:val="72"/>
        </w:rPr>
      </w:pPr>
    </w:p>
    <w:p w:rsidR="00B377EC" w:rsidRDefault="00B377EC">
      <w:pPr>
        <w:spacing w:line="600" w:lineRule="exact"/>
        <w:jc w:val="center"/>
        <w:outlineLvl w:val="0"/>
        <w:rPr>
          <w:rFonts w:ascii="方正小标宋简体" w:eastAsia="方正小标宋简体" w:hAnsi="宋体"/>
          <w:sz w:val="72"/>
          <w:szCs w:val="72"/>
        </w:rPr>
      </w:pPr>
    </w:p>
    <w:p w:rsidR="00B377EC" w:rsidRDefault="00B377EC" w:rsidP="00426C5F">
      <w:pPr>
        <w:rPr>
          <w:rFonts w:ascii="方正小标宋简体" w:eastAsia="方正小标宋简体" w:hAnsi="宋体"/>
          <w:sz w:val="72"/>
          <w:szCs w:val="72"/>
        </w:rPr>
      </w:pPr>
    </w:p>
    <w:p w:rsidR="00B377EC" w:rsidRDefault="00F95364" w:rsidP="00426C5F">
      <w:pPr>
        <w:jc w:val="center"/>
        <w:rPr>
          <w:rFonts w:ascii="方正小标宋简体" w:eastAsia="方正小标宋简体" w:hAnsi="方正小标宋简体" w:cs="方正小标宋简体"/>
          <w:sz w:val="72"/>
          <w:szCs w:val="72"/>
        </w:rPr>
      </w:pPr>
      <w:bookmarkStart w:id="1" w:name="_Toc15396597"/>
      <w:bookmarkStart w:id="2" w:name="_Toc15377425"/>
      <w:bookmarkStart w:id="3" w:name="_Toc15377193"/>
      <w:bookmarkStart w:id="4" w:name="_Toc15396475"/>
      <w:bookmarkStart w:id="5" w:name="_Toc15378441"/>
      <w:r>
        <w:rPr>
          <w:rFonts w:ascii="方正小标宋简体" w:eastAsia="方正小标宋简体" w:hAnsi="方正小标宋简体" w:cs="方正小标宋简体" w:hint="eastAsia"/>
          <w:sz w:val="72"/>
          <w:szCs w:val="72"/>
        </w:rPr>
        <w:t>2021年度</w:t>
      </w:r>
      <w:bookmarkEnd w:id="1"/>
      <w:bookmarkEnd w:id="2"/>
      <w:bookmarkEnd w:id="3"/>
      <w:bookmarkEnd w:id="4"/>
      <w:bookmarkEnd w:id="5"/>
    </w:p>
    <w:p w:rsidR="00B377EC" w:rsidRDefault="00F95364" w:rsidP="00426C5F">
      <w:pPr>
        <w:jc w:val="center"/>
        <w:rPr>
          <w:rFonts w:ascii="方正小标宋简体" w:eastAsia="方正小标宋简体" w:hAnsi="方正小标宋简体" w:cs="方正小标宋简体"/>
          <w:sz w:val="72"/>
          <w:szCs w:val="72"/>
        </w:rPr>
      </w:pPr>
      <w:bookmarkStart w:id="6" w:name="_Toc15377194"/>
      <w:bookmarkStart w:id="7" w:name="_Toc15396598"/>
      <w:bookmarkStart w:id="8" w:name="_Toc15396476"/>
      <w:bookmarkStart w:id="9" w:name="_Toc15377426"/>
      <w:bookmarkStart w:id="10" w:name="_Toc15378442"/>
      <w:r>
        <w:rPr>
          <w:rFonts w:ascii="方正小标宋简体" w:eastAsia="方正小标宋简体" w:hAnsi="方正小标宋简体" w:cs="方正小标宋简体" w:hint="eastAsia"/>
          <w:sz w:val="72"/>
          <w:szCs w:val="72"/>
        </w:rPr>
        <w:t>四川省</w:t>
      </w:r>
      <w:bookmarkStart w:id="11" w:name="_Toc15306268"/>
      <w:bookmarkEnd w:id="0"/>
      <w:r>
        <w:rPr>
          <w:rFonts w:ascii="方正小标宋简体" w:eastAsia="方正小标宋简体" w:hAnsi="方正小标宋简体" w:cs="方正小标宋简体" w:hint="eastAsia"/>
          <w:sz w:val="72"/>
          <w:szCs w:val="72"/>
        </w:rPr>
        <w:t>人民政府驻上海办事处单位决算</w:t>
      </w:r>
      <w:bookmarkEnd w:id="6"/>
      <w:bookmarkEnd w:id="7"/>
      <w:bookmarkEnd w:id="8"/>
      <w:bookmarkEnd w:id="9"/>
      <w:bookmarkEnd w:id="10"/>
      <w:bookmarkEnd w:id="11"/>
    </w:p>
    <w:p w:rsidR="00B377EC" w:rsidRDefault="00F95364">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B377EC" w:rsidRDefault="00F95364">
      <w:pPr>
        <w:pStyle w:val="10"/>
        <w:rPr>
          <w:rFonts w:ascii="Times New Roman" w:eastAsia="仿宋_GB2312" w:hAnsi="Times New Roman"/>
        </w:rPr>
      </w:pPr>
      <w:r>
        <w:rPr>
          <w:rFonts w:ascii="Times New Roman" w:eastAsia="仿宋_GB2312" w:hAnsi="Times New Roman"/>
        </w:rPr>
        <w:t>公开时间：</w:t>
      </w:r>
      <w:r>
        <w:rPr>
          <w:rFonts w:ascii="Times New Roman" w:eastAsia="仿宋_GB2312" w:hAnsi="Times New Roman"/>
        </w:rPr>
        <w:t>2022</w:t>
      </w:r>
      <w:r>
        <w:rPr>
          <w:rFonts w:ascii="Times New Roman" w:eastAsia="仿宋_GB2312" w:hAnsi="Times New Roman"/>
        </w:rPr>
        <w:t>年</w:t>
      </w:r>
      <w:r>
        <w:rPr>
          <w:rFonts w:ascii="Times New Roman" w:eastAsia="仿宋_GB2312" w:hAnsi="Times New Roman"/>
        </w:rPr>
        <w:t>9</w:t>
      </w:r>
      <w:r>
        <w:rPr>
          <w:rFonts w:ascii="Times New Roman" w:eastAsia="仿宋_GB2312" w:hAnsi="Times New Roman"/>
        </w:rPr>
        <w:t>月</w:t>
      </w:r>
      <w:r>
        <w:rPr>
          <w:rFonts w:ascii="Times New Roman" w:eastAsia="仿宋_GB2312" w:hAnsi="Times New Roman"/>
        </w:rPr>
        <w:t>9</w:t>
      </w:r>
      <w:r>
        <w:rPr>
          <w:rFonts w:ascii="Times New Roman" w:eastAsia="仿宋_GB2312" w:hAnsi="Times New Roman"/>
        </w:rPr>
        <w:t>日</w:t>
      </w:r>
    </w:p>
    <w:sdt>
      <w:sdtPr>
        <w:rPr>
          <w:rFonts w:ascii="Times New Roman" w:eastAsia="宋体" w:hAnsi="Times New Roman"/>
          <w:sz w:val="21"/>
          <w:szCs w:val="24"/>
        </w:rPr>
        <w:id w:val="1059903695"/>
        <w:docPartObj>
          <w:docPartGallery w:val="Table of Contents"/>
          <w:docPartUnique/>
        </w:docPartObj>
      </w:sdtPr>
      <w:sdtEndPr>
        <w:rPr>
          <w:b/>
          <w:bCs/>
          <w:noProof/>
        </w:rPr>
      </w:sdtEndPr>
      <w:sdtContent>
        <w:p w:rsidR="00A44BD3" w:rsidRPr="00A44BD3" w:rsidRDefault="00B53562" w:rsidP="00524E09">
          <w:pPr>
            <w:pStyle w:val="10"/>
            <w:adjustRightInd w:val="0"/>
            <w:snapToGrid w:val="0"/>
            <w:spacing w:before="0" w:line="288" w:lineRule="auto"/>
            <w:rPr>
              <w:rFonts w:cstheme="minorBidi"/>
              <w:noProof/>
              <w:sz w:val="21"/>
              <w:szCs w:val="22"/>
            </w:rPr>
          </w:pPr>
          <w:r w:rsidRPr="00B53562">
            <w:fldChar w:fldCharType="begin"/>
          </w:r>
          <w:r w:rsidR="009621FB">
            <w:instrText xml:space="preserve"> TOC \o "1-3" \h \z \u </w:instrText>
          </w:r>
          <w:r w:rsidRPr="00B53562">
            <w:fldChar w:fldCharType="separate"/>
          </w:r>
          <w:hyperlink w:anchor="_Toc113284420" w:history="1">
            <w:r w:rsidR="00A44BD3" w:rsidRPr="00A44BD3">
              <w:rPr>
                <w:rStyle w:val="a8"/>
                <w:noProof/>
              </w:rPr>
              <w:t>第一部分 单位概况</w:t>
            </w:r>
            <w:r w:rsidR="00A44BD3" w:rsidRPr="00A44BD3">
              <w:rPr>
                <w:noProof/>
                <w:webHidden/>
              </w:rPr>
              <w:tab/>
            </w:r>
            <w:r w:rsidRPr="005B4C6F">
              <w:rPr>
                <w:noProof/>
                <w:webHidden/>
                <w:sz w:val="21"/>
                <w:szCs w:val="21"/>
              </w:rPr>
              <w:fldChar w:fldCharType="begin"/>
            </w:r>
            <w:r w:rsidR="00A44BD3" w:rsidRPr="005B4C6F">
              <w:rPr>
                <w:noProof/>
                <w:webHidden/>
                <w:sz w:val="21"/>
                <w:szCs w:val="21"/>
              </w:rPr>
              <w:instrText xml:space="preserve"> PAGEREF _Toc113284420 \h </w:instrText>
            </w:r>
            <w:r w:rsidRPr="005B4C6F">
              <w:rPr>
                <w:noProof/>
                <w:webHidden/>
                <w:sz w:val="21"/>
                <w:szCs w:val="21"/>
              </w:rPr>
            </w:r>
            <w:r w:rsidRPr="005B4C6F">
              <w:rPr>
                <w:noProof/>
                <w:webHidden/>
                <w:sz w:val="21"/>
                <w:szCs w:val="21"/>
              </w:rPr>
              <w:fldChar w:fldCharType="separate"/>
            </w:r>
            <w:r w:rsidR="00A44BD3" w:rsidRPr="005B4C6F">
              <w:rPr>
                <w:noProof/>
                <w:webHidden/>
                <w:sz w:val="21"/>
                <w:szCs w:val="21"/>
              </w:rPr>
              <w:t>4</w:t>
            </w:r>
            <w:r w:rsidRPr="005B4C6F">
              <w:rPr>
                <w:noProof/>
                <w:webHidden/>
                <w:sz w:val="21"/>
                <w:szCs w:val="21"/>
              </w:rPr>
              <w:fldChar w:fldCharType="end"/>
            </w:r>
          </w:hyperlink>
        </w:p>
        <w:p w:rsidR="00A44BD3" w:rsidRPr="00A44BD3" w:rsidRDefault="00B53562" w:rsidP="00524E09">
          <w:pPr>
            <w:pStyle w:val="20"/>
            <w:adjustRightInd w:val="0"/>
            <w:snapToGrid w:val="0"/>
            <w:spacing w:line="288" w:lineRule="auto"/>
            <w:rPr>
              <w:rFonts w:ascii="仿宋" w:eastAsia="仿宋" w:hAnsi="仿宋" w:cstheme="minorBidi"/>
              <w:noProof/>
              <w:szCs w:val="22"/>
            </w:rPr>
          </w:pPr>
          <w:hyperlink w:anchor="_Toc113284421" w:history="1">
            <w:r w:rsidR="00A44BD3" w:rsidRPr="00A44BD3">
              <w:rPr>
                <w:rStyle w:val="a8"/>
                <w:rFonts w:ascii="仿宋" w:eastAsia="仿宋" w:hAnsi="仿宋"/>
                <w:noProof/>
              </w:rPr>
              <w:t>一、职能简介</w:t>
            </w:r>
            <w:r w:rsidR="00A44BD3" w:rsidRPr="00A44BD3">
              <w:rPr>
                <w:rFonts w:ascii="仿宋" w:eastAsia="仿宋" w:hAnsi="仿宋"/>
                <w:noProof/>
                <w:webHidden/>
              </w:rPr>
              <w:tab/>
            </w:r>
            <w:r w:rsidRPr="00A44BD3">
              <w:rPr>
                <w:rFonts w:ascii="仿宋" w:eastAsia="仿宋" w:hAnsi="仿宋"/>
                <w:noProof/>
                <w:webHidden/>
              </w:rPr>
              <w:fldChar w:fldCharType="begin"/>
            </w:r>
            <w:r w:rsidR="00A44BD3" w:rsidRPr="00A44BD3">
              <w:rPr>
                <w:rFonts w:ascii="仿宋" w:eastAsia="仿宋" w:hAnsi="仿宋"/>
                <w:noProof/>
                <w:webHidden/>
              </w:rPr>
              <w:instrText xml:space="preserve"> PAGEREF _Toc113284421 \h </w:instrText>
            </w:r>
            <w:r w:rsidRPr="00A44BD3">
              <w:rPr>
                <w:rFonts w:ascii="仿宋" w:eastAsia="仿宋" w:hAnsi="仿宋"/>
                <w:noProof/>
                <w:webHidden/>
              </w:rPr>
            </w:r>
            <w:r w:rsidRPr="00A44BD3">
              <w:rPr>
                <w:rFonts w:ascii="仿宋" w:eastAsia="仿宋" w:hAnsi="仿宋"/>
                <w:noProof/>
                <w:webHidden/>
              </w:rPr>
              <w:fldChar w:fldCharType="separate"/>
            </w:r>
            <w:r w:rsidR="00A44BD3" w:rsidRPr="00A44BD3">
              <w:rPr>
                <w:rFonts w:ascii="仿宋" w:eastAsia="仿宋" w:hAnsi="仿宋"/>
                <w:noProof/>
                <w:webHidden/>
              </w:rPr>
              <w:t>4</w:t>
            </w:r>
            <w:r w:rsidRPr="00A44BD3">
              <w:rPr>
                <w:rFonts w:ascii="仿宋" w:eastAsia="仿宋" w:hAnsi="仿宋"/>
                <w:noProof/>
                <w:webHidden/>
              </w:rPr>
              <w:fldChar w:fldCharType="end"/>
            </w:r>
          </w:hyperlink>
        </w:p>
        <w:p w:rsidR="00A44BD3" w:rsidRPr="00A44BD3" w:rsidRDefault="00B53562" w:rsidP="00524E09">
          <w:pPr>
            <w:pStyle w:val="20"/>
            <w:adjustRightInd w:val="0"/>
            <w:snapToGrid w:val="0"/>
            <w:spacing w:line="288" w:lineRule="auto"/>
            <w:rPr>
              <w:rFonts w:ascii="仿宋" w:eastAsia="仿宋" w:hAnsi="仿宋" w:cstheme="minorBidi"/>
              <w:noProof/>
              <w:szCs w:val="22"/>
            </w:rPr>
          </w:pPr>
          <w:hyperlink w:anchor="_Toc113284422" w:history="1">
            <w:r w:rsidR="00A44BD3" w:rsidRPr="00A44BD3">
              <w:rPr>
                <w:rStyle w:val="a8"/>
                <w:rFonts w:ascii="仿宋" w:eastAsia="仿宋" w:hAnsi="仿宋"/>
                <w:noProof/>
              </w:rPr>
              <w:t>二、2021年重点工作完成情况</w:t>
            </w:r>
            <w:r w:rsidR="00A44BD3" w:rsidRPr="00A44BD3">
              <w:rPr>
                <w:rFonts w:ascii="仿宋" w:eastAsia="仿宋" w:hAnsi="仿宋"/>
                <w:noProof/>
                <w:webHidden/>
              </w:rPr>
              <w:tab/>
            </w:r>
            <w:r w:rsidRPr="00A44BD3">
              <w:rPr>
                <w:rFonts w:ascii="仿宋" w:eastAsia="仿宋" w:hAnsi="仿宋"/>
                <w:noProof/>
                <w:webHidden/>
              </w:rPr>
              <w:fldChar w:fldCharType="begin"/>
            </w:r>
            <w:r w:rsidR="00A44BD3" w:rsidRPr="00A44BD3">
              <w:rPr>
                <w:rFonts w:ascii="仿宋" w:eastAsia="仿宋" w:hAnsi="仿宋"/>
                <w:noProof/>
                <w:webHidden/>
              </w:rPr>
              <w:instrText xml:space="preserve"> PAGEREF _Toc113284422 \h </w:instrText>
            </w:r>
            <w:r w:rsidRPr="00A44BD3">
              <w:rPr>
                <w:rFonts w:ascii="仿宋" w:eastAsia="仿宋" w:hAnsi="仿宋"/>
                <w:noProof/>
                <w:webHidden/>
              </w:rPr>
            </w:r>
            <w:r w:rsidRPr="00A44BD3">
              <w:rPr>
                <w:rFonts w:ascii="仿宋" w:eastAsia="仿宋" w:hAnsi="仿宋"/>
                <w:noProof/>
                <w:webHidden/>
              </w:rPr>
              <w:fldChar w:fldCharType="separate"/>
            </w:r>
            <w:r w:rsidR="00A44BD3" w:rsidRPr="00A44BD3">
              <w:rPr>
                <w:rFonts w:ascii="仿宋" w:eastAsia="仿宋" w:hAnsi="仿宋"/>
                <w:noProof/>
                <w:webHidden/>
              </w:rPr>
              <w:t>5</w:t>
            </w:r>
            <w:r w:rsidRPr="00A44BD3">
              <w:rPr>
                <w:rFonts w:ascii="仿宋" w:eastAsia="仿宋" w:hAnsi="仿宋"/>
                <w:noProof/>
                <w:webHidden/>
              </w:rPr>
              <w:fldChar w:fldCharType="end"/>
            </w:r>
          </w:hyperlink>
        </w:p>
        <w:p w:rsidR="00A44BD3" w:rsidRPr="00A44BD3" w:rsidRDefault="00B53562" w:rsidP="00524E09">
          <w:pPr>
            <w:pStyle w:val="10"/>
            <w:adjustRightInd w:val="0"/>
            <w:snapToGrid w:val="0"/>
            <w:spacing w:before="0" w:line="288" w:lineRule="auto"/>
            <w:rPr>
              <w:rFonts w:cstheme="minorBidi"/>
              <w:noProof/>
              <w:sz w:val="21"/>
              <w:szCs w:val="22"/>
            </w:rPr>
          </w:pPr>
          <w:hyperlink w:anchor="_Toc113284423" w:history="1">
            <w:r w:rsidR="00A44BD3" w:rsidRPr="00A44BD3">
              <w:rPr>
                <w:rStyle w:val="a8"/>
                <w:noProof/>
              </w:rPr>
              <w:t>第二部分 2021年度单位决算情况说明</w:t>
            </w:r>
            <w:r w:rsidR="00A44BD3" w:rsidRPr="00A44BD3">
              <w:rPr>
                <w:noProof/>
                <w:webHidden/>
              </w:rPr>
              <w:tab/>
            </w:r>
            <w:r w:rsidRPr="009835CD">
              <w:rPr>
                <w:noProof/>
                <w:webHidden/>
                <w:sz w:val="21"/>
                <w:szCs w:val="21"/>
              </w:rPr>
              <w:fldChar w:fldCharType="begin"/>
            </w:r>
            <w:r w:rsidR="00A44BD3" w:rsidRPr="009835CD">
              <w:rPr>
                <w:noProof/>
                <w:webHidden/>
                <w:sz w:val="21"/>
                <w:szCs w:val="21"/>
              </w:rPr>
              <w:instrText xml:space="preserve"> PAGEREF _Toc113284423 \h </w:instrText>
            </w:r>
            <w:r w:rsidRPr="009835CD">
              <w:rPr>
                <w:noProof/>
                <w:webHidden/>
                <w:sz w:val="21"/>
                <w:szCs w:val="21"/>
              </w:rPr>
            </w:r>
            <w:r w:rsidRPr="009835CD">
              <w:rPr>
                <w:noProof/>
                <w:webHidden/>
                <w:sz w:val="21"/>
                <w:szCs w:val="21"/>
              </w:rPr>
              <w:fldChar w:fldCharType="separate"/>
            </w:r>
            <w:r w:rsidR="00A44BD3" w:rsidRPr="009835CD">
              <w:rPr>
                <w:noProof/>
                <w:webHidden/>
                <w:sz w:val="21"/>
                <w:szCs w:val="21"/>
              </w:rPr>
              <w:t>7</w:t>
            </w:r>
            <w:r w:rsidRPr="009835CD">
              <w:rPr>
                <w:noProof/>
                <w:webHidden/>
                <w:sz w:val="21"/>
                <w:szCs w:val="21"/>
              </w:rPr>
              <w:fldChar w:fldCharType="end"/>
            </w:r>
          </w:hyperlink>
        </w:p>
        <w:p w:rsidR="00A44BD3" w:rsidRPr="00A44BD3" w:rsidRDefault="00B53562" w:rsidP="00237A6C">
          <w:pPr>
            <w:pStyle w:val="20"/>
            <w:adjustRightInd w:val="0"/>
            <w:snapToGrid w:val="0"/>
            <w:spacing w:line="288" w:lineRule="auto"/>
            <w:rPr>
              <w:rFonts w:ascii="仿宋" w:eastAsia="仿宋" w:hAnsi="仿宋" w:cstheme="minorBidi"/>
              <w:noProof/>
              <w:szCs w:val="22"/>
            </w:rPr>
          </w:pPr>
          <w:hyperlink w:anchor="_Toc113284424" w:history="1">
            <w:r w:rsidR="00A44BD3" w:rsidRPr="00A44BD3">
              <w:rPr>
                <w:rStyle w:val="a8"/>
                <w:rFonts w:ascii="仿宋" w:eastAsia="仿宋" w:hAnsi="仿宋" w:cstheme="majorBidi"/>
                <w:bCs/>
                <w:noProof/>
              </w:rPr>
              <w:t>一、</w:t>
            </w:r>
            <w:r w:rsidR="00A44BD3" w:rsidRPr="00A44BD3">
              <w:rPr>
                <w:rStyle w:val="a8"/>
                <w:rFonts w:ascii="仿宋" w:eastAsia="仿宋" w:hAnsi="仿宋"/>
                <w:noProof/>
              </w:rPr>
              <w:t>收</w:t>
            </w:r>
            <w:r w:rsidR="00A44BD3" w:rsidRPr="00A44BD3">
              <w:rPr>
                <w:rStyle w:val="a8"/>
                <w:rFonts w:ascii="仿宋" w:eastAsia="仿宋" w:hAnsi="仿宋" w:cstheme="majorBidi"/>
                <w:bCs/>
                <w:noProof/>
              </w:rPr>
              <w:t>入支出决算总体情况说明</w:t>
            </w:r>
            <w:r w:rsidR="00A44BD3" w:rsidRPr="00A44BD3">
              <w:rPr>
                <w:rFonts w:ascii="仿宋" w:eastAsia="仿宋" w:hAnsi="仿宋"/>
                <w:noProof/>
                <w:webHidden/>
              </w:rPr>
              <w:tab/>
            </w:r>
            <w:r w:rsidRPr="00A44BD3">
              <w:rPr>
                <w:rFonts w:ascii="仿宋" w:eastAsia="仿宋" w:hAnsi="仿宋"/>
                <w:noProof/>
                <w:webHidden/>
              </w:rPr>
              <w:fldChar w:fldCharType="begin"/>
            </w:r>
            <w:r w:rsidR="00A44BD3" w:rsidRPr="00A44BD3">
              <w:rPr>
                <w:rFonts w:ascii="仿宋" w:eastAsia="仿宋" w:hAnsi="仿宋"/>
                <w:noProof/>
                <w:webHidden/>
              </w:rPr>
              <w:instrText xml:space="preserve"> PAGEREF _Toc113284424 \h </w:instrText>
            </w:r>
            <w:r w:rsidRPr="00A44BD3">
              <w:rPr>
                <w:rFonts w:ascii="仿宋" w:eastAsia="仿宋" w:hAnsi="仿宋"/>
                <w:noProof/>
                <w:webHidden/>
              </w:rPr>
            </w:r>
            <w:r w:rsidRPr="00A44BD3">
              <w:rPr>
                <w:rFonts w:ascii="仿宋" w:eastAsia="仿宋" w:hAnsi="仿宋"/>
                <w:noProof/>
                <w:webHidden/>
              </w:rPr>
              <w:fldChar w:fldCharType="separate"/>
            </w:r>
            <w:r w:rsidR="00A44BD3" w:rsidRPr="00A44BD3">
              <w:rPr>
                <w:rFonts w:ascii="仿宋" w:eastAsia="仿宋" w:hAnsi="仿宋"/>
                <w:noProof/>
                <w:webHidden/>
              </w:rPr>
              <w:t>7</w:t>
            </w:r>
            <w:r w:rsidRPr="00A44BD3">
              <w:rPr>
                <w:rFonts w:ascii="仿宋" w:eastAsia="仿宋" w:hAnsi="仿宋"/>
                <w:noProof/>
                <w:webHidden/>
              </w:rPr>
              <w:fldChar w:fldCharType="end"/>
            </w:r>
          </w:hyperlink>
        </w:p>
        <w:p w:rsidR="00A44BD3" w:rsidRPr="00A44BD3" w:rsidRDefault="00B53562" w:rsidP="00237A6C">
          <w:pPr>
            <w:pStyle w:val="20"/>
            <w:adjustRightInd w:val="0"/>
            <w:snapToGrid w:val="0"/>
            <w:spacing w:line="288" w:lineRule="auto"/>
            <w:rPr>
              <w:rFonts w:ascii="仿宋" w:eastAsia="仿宋" w:hAnsi="仿宋" w:cstheme="minorBidi"/>
              <w:noProof/>
              <w:szCs w:val="22"/>
            </w:rPr>
          </w:pPr>
          <w:hyperlink w:anchor="_Toc113284425" w:history="1">
            <w:r w:rsidR="00A44BD3" w:rsidRPr="00A44BD3">
              <w:rPr>
                <w:rStyle w:val="a8"/>
                <w:rFonts w:ascii="仿宋" w:eastAsia="仿宋" w:hAnsi="仿宋" w:cstheme="majorBidi"/>
                <w:bCs/>
                <w:noProof/>
              </w:rPr>
              <w:t>二、</w:t>
            </w:r>
            <w:r w:rsidR="00A44BD3" w:rsidRPr="00A44BD3">
              <w:rPr>
                <w:rStyle w:val="a8"/>
                <w:rFonts w:ascii="仿宋" w:eastAsia="仿宋" w:hAnsi="仿宋"/>
                <w:noProof/>
              </w:rPr>
              <w:t>收</w:t>
            </w:r>
            <w:r w:rsidR="00A44BD3" w:rsidRPr="00A44BD3">
              <w:rPr>
                <w:rStyle w:val="a8"/>
                <w:rFonts w:ascii="仿宋" w:eastAsia="仿宋" w:hAnsi="仿宋" w:cstheme="majorBidi"/>
                <w:bCs/>
                <w:noProof/>
              </w:rPr>
              <w:t>入决算情况说明</w:t>
            </w:r>
            <w:r w:rsidR="00A44BD3" w:rsidRPr="00A44BD3">
              <w:rPr>
                <w:rFonts w:ascii="仿宋" w:eastAsia="仿宋" w:hAnsi="仿宋"/>
                <w:noProof/>
                <w:webHidden/>
              </w:rPr>
              <w:tab/>
            </w:r>
            <w:r w:rsidRPr="00A44BD3">
              <w:rPr>
                <w:rFonts w:ascii="仿宋" w:eastAsia="仿宋" w:hAnsi="仿宋"/>
                <w:noProof/>
                <w:webHidden/>
              </w:rPr>
              <w:fldChar w:fldCharType="begin"/>
            </w:r>
            <w:r w:rsidR="00A44BD3" w:rsidRPr="00A44BD3">
              <w:rPr>
                <w:rFonts w:ascii="仿宋" w:eastAsia="仿宋" w:hAnsi="仿宋"/>
                <w:noProof/>
                <w:webHidden/>
              </w:rPr>
              <w:instrText xml:space="preserve"> PAGEREF _Toc113284425 \h </w:instrText>
            </w:r>
            <w:r w:rsidRPr="00A44BD3">
              <w:rPr>
                <w:rFonts w:ascii="仿宋" w:eastAsia="仿宋" w:hAnsi="仿宋"/>
                <w:noProof/>
                <w:webHidden/>
              </w:rPr>
            </w:r>
            <w:r w:rsidRPr="00A44BD3">
              <w:rPr>
                <w:rFonts w:ascii="仿宋" w:eastAsia="仿宋" w:hAnsi="仿宋"/>
                <w:noProof/>
                <w:webHidden/>
              </w:rPr>
              <w:fldChar w:fldCharType="separate"/>
            </w:r>
            <w:r w:rsidR="00A44BD3" w:rsidRPr="00A44BD3">
              <w:rPr>
                <w:rFonts w:ascii="仿宋" w:eastAsia="仿宋" w:hAnsi="仿宋"/>
                <w:noProof/>
                <w:webHidden/>
              </w:rPr>
              <w:t>7</w:t>
            </w:r>
            <w:r w:rsidRPr="00A44BD3">
              <w:rPr>
                <w:rFonts w:ascii="仿宋" w:eastAsia="仿宋" w:hAnsi="仿宋"/>
                <w:noProof/>
                <w:webHidden/>
              </w:rPr>
              <w:fldChar w:fldCharType="end"/>
            </w:r>
          </w:hyperlink>
        </w:p>
        <w:p w:rsidR="00A44BD3" w:rsidRPr="00A44BD3" w:rsidRDefault="00B53562" w:rsidP="00237A6C">
          <w:pPr>
            <w:pStyle w:val="20"/>
            <w:adjustRightInd w:val="0"/>
            <w:snapToGrid w:val="0"/>
            <w:spacing w:line="288" w:lineRule="auto"/>
            <w:rPr>
              <w:rFonts w:ascii="仿宋" w:eastAsia="仿宋" w:hAnsi="仿宋" w:cstheme="minorBidi"/>
              <w:noProof/>
              <w:szCs w:val="22"/>
            </w:rPr>
          </w:pPr>
          <w:hyperlink w:anchor="_Toc113284426" w:history="1">
            <w:r w:rsidR="00A44BD3" w:rsidRPr="00A44BD3">
              <w:rPr>
                <w:rStyle w:val="a8"/>
                <w:rFonts w:ascii="仿宋" w:eastAsia="仿宋" w:hAnsi="仿宋" w:cstheme="majorBidi"/>
                <w:bCs/>
                <w:noProof/>
              </w:rPr>
              <w:t>三、</w:t>
            </w:r>
            <w:r w:rsidR="00A44BD3" w:rsidRPr="00A44BD3">
              <w:rPr>
                <w:rStyle w:val="a8"/>
                <w:rFonts w:ascii="仿宋" w:eastAsia="仿宋" w:hAnsi="仿宋"/>
                <w:noProof/>
              </w:rPr>
              <w:t>支</w:t>
            </w:r>
            <w:r w:rsidR="00A44BD3" w:rsidRPr="00A44BD3">
              <w:rPr>
                <w:rStyle w:val="a8"/>
                <w:rFonts w:ascii="仿宋" w:eastAsia="仿宋" w:hAnsi="仿宋" w:cstheme="majorBidi"/>
                <w:bCs/>
                <w:noProof/>
              </w:rPr>
              <w:t>出决算情况说明</w:t>
            </w:r>
            <w:r w:rsidR="00A44BD3" w:rsidRPr="00A44BD3">
              <w:rPr>
                <w:rFonts w:ascii="仿宋" w:eastAsia="仿宋" w:hAnsi="仿宋"/>
                <w:noProof/>
                <w:webHidden/>
              </w:rPr>
              <w:tab/>
            </w:r>
            <w:r w:rsidRPr="00A44BD3">
              <w:rPr>
                <w:rFonts w:ascii="仿宋" w:eastAsia="仿宋" w:hAnsi="仿宋"/>
                <w:noProof/>
                <w:webHidden/>
              </w:rPr>
              <w:fldChar w:fldCharType="begin"/>
            </w:r>
            <w:r w:rsidR="00A44BD3" w:rsidRPr="00A44BD3">
              <w:rPr>
                <w:rFonts w:ascii="仿宋" w:eastAsia="仿宋" w:hAnsi="仿宋"/>
                <w:noProof/>
                <w:webHidden/>
              </w:rPr>
              <w:instrText xml:space="preserve"> PAGEREF _Toc113284426 \h </w:instrText>
            </w:r>
            <w:r w:rsidRPr="00A44BD3">
              <w:rPr>
                <w:rFonts w:ascii="仿宋" w:eastAsia="仿宋" w:hAnsi="仿宋"/>
                <w:noProof/>
                <w:webHidden/>
              </w:rPr>
            </w:r>
            <w:r w:rsidRPr="00A44BD3">
              <w:rPr>
                <w:rFonts w:ascii="仿宋" w:eastAsia="仿宋" w:hAnsi="仿宋"/>
                <w:noProof/>
                <w:webHidden/>
              </w:rPr>
              <w:fldChar w:fldCharType="separate"/>
            </w:r>
            <w:r w:rsidR="00A44BD3" w:rsidRPr="00A44BD3">
              <w:rPr>
                <w:rFonts w:ascii="仿宋" w:eastAsia="仿宋" w:hAnsi="仿宋"/>
                <w:noProof/>
                <w:webHidden/>
              </w:rPr>
              <w:t>8</w:t>
            </w:r>
            <w:r w:rsidRPr="00A44BD3">
              <w:rPr>
                <w:rFonts w:ascii="仿宋" w:eastAsia="仿宋" w:hAnsi="仿宋"/>
                <w:noProof/>
                <w:webHidden/>
              </w:rPr>
              <w:fldChar w:fldCharType="end"/>
            </w:r>
          </w:hyperlink>
        </w:p>
        <w:p w:rsidR="00A44BD3" w:rsidRPr="00A44BD3" w:rsidRDefault="00B53562" w:rsidP="00524E09">
          <w:pPr>
            <w:pStyle w:val="20"/>
            <w:adjustRightInd w:val="0"/>
            <w:snapToGrid w:val="0"/>
            <w:spacing w:line="288" w:lineRule="auto"/>
            <w:rPr>
              <w:rFonts w:ascii="仿宋" w:eastAsia="仿宋" w:hAnsi="仿宋" w:cstheme="minorBidi"/>
              <w:noProof/>
              <w:szCs w:val="22"/>
            </w:rPr>
          </w:pPr>
          <w:hyperlink w:anchor="_Toc113284427" w:history="1">
            <w:r w:rsidR="00A44BD3" w:rsidRPr="00A44BD3">
              <w:rPr>
                <w:rStyle w:val="a8"/>
                <w:rFonts w:ascii="仿宋" w:eastAsia="仿宋" w:hAnsi="仿宋"/>
                <w:noProof/>
              </w:rPr>
              <w:t>四、财</w:t>
            </w:r>
            <w:r w:rsidR="00A44BD3" w:rsidRPr="00A44BD3">
              <w:rPr>
                <w:rStyle w:val="a8"/>
                <w:rFonts w:ascii="仿宋" w:eastAsia="仿宋" w:hAnsi="仿宋" w:cstheme="majorBidi"/>
                <w:bCs/>
                <w:noProof/>
              </w:rPr>
              <w:t>政拨款收入支出决算总体情况说明</w:t>
            </w:r>
            <w:r w:rsidR="00A44BD3" w:rsidRPr="00A44BD3">
              <w:rPr>
                <w:rFonts w:ascii="仿宋" w:eastAsia="仿宋" w:hAnsi="仿宋"/>
                <w:noProof/>
                <w:webHidden/>
              </w:rPr>
              <w:tab/>
            </w:r>
            <w:r w:rsidRPr="00A44BD3">
              <w:rPr>
                <w:rFonts w:ascii="仿宋" w:eastAsia="仿宋" w:hAnsi="仿宋"/>
                <w:noProof/>
                <w:webHidden/>
              </w:rPr>
              <w:fldChar w:fldCharType="begin"/>
            </w:r>
            <w:r w:rsidR="00A44BD3" w:rsidRPr="00A44BD3">
              <w:rPr>
                <w:rFonts w:ascii="仿宋" w:eastAsia="仿宋" w:hAnsi="仿宋"/>
                <w:noProof/>
                <w:webHidden/>
              </w:rPr>
              <w:instrText xml:space="preserve"> PAGEREF _Toc113284427 \h </w:instrText>
            </w:r>
            <w:r w:rsidRPr="00A44BD3">
              <w:rPr>
                <w:rFonts w:ascii="仿宋" w:eastAsia="仿宋" w:hAnsi="仿宋"/>
                <w:noProof/>
                <w:webHidden/>
              </w:rPr>
            </w:r>
            <w:r w:rsidRPr="00A44BD3">
              <w:rPr>
                <w:rFonts w:ascii="仿宋" w:eastAsia="仿宋" w:hAnsi="仿宋"/>
                <w:noProof/>
                <w:webHidden/>
              </w:rPr>
              <w:fldChar w:fldCharType="separate"/>
            </w:r>
            <w:r w:rsidR="00A44BD3" w:rsidRPr="00A44BD3">
              <w:rPr>
                <w:rFonts w:ascii="仿宋" w:eastAsia="仿宋" w:hAnsi="仿宋"/>
                <w:noProof/>
                <w:webHidden/>
              </w:rPr>
              <w:t>8</w:t>
            </w:r>
            <w:r w:rsidRPr="00A44BD3">
              <w:rPr>
                <w:rFonts w:ascii="仿宋" w:eastAsia="仿宋" w:hAnsi="仿宋"/>
                <w:noProof/>
                <w:webHidden/>
              </w:rPr>
              <w:fldChar w:fldCharType="end"/>
            </w:r>
          </w:hyperlink>
        </w:p>
        <w:p w:rsidR="00A44BD3" w:rsidRPr="00A44BD3" w:rsidRDefault="00B53562" w:rsidP="00524E09">
          <w:pPr>
            <w:pStyle w:val="20"/>
            <w:adjustRightInd w:val="0"/>
            <w:snapToGrid w:val="0"/>
            <w:spacing w:line="288" w:lineRule="auto"/>
            <w:rPr>
              <w:rFonts w:ascii="仿宋" w:eastAsia="仿宋" w:hAnsi="仿宋" w:cstheme="minorBidi"/>
              <w:noProof/>
              <w:szCs w:val="22"/>
            </w:rPr>
          </w:pPr>
          <w:hyperlink w:anchor="_Toc113284428" w:history="1">
            <w:r w:rsidR="00A44BD3" w:rsidRPr="00A44BD3">
              <w:rPr>
                <w:rStyle w:val="a8"/>
                <w:rFonts w:ascii="仿宋" w:eastAsia="仿宋" w:hAnsi="仿宋"/>
                <w:noProof/>
              </w:rPr>
              <w:t>五、</w:t>
            </w:r>
            <w:r w:rsidR="00A44BD3" w:rsidRPr="00A44BD3">
              <w:rPr>
                <w:rStyle w:val="a8"/>
                <w:rFonts w:ascii="仿宋" w:eastAsia="仿宋" w:hAnsi="仿宋"/>
                <w:b/>
                <w:noProof/>
              </w:rPr>
              <w:t>一</w:t>
            </w:r>
            <w:r w:rsidR="00A44BD3" w:rsidRPr="00A44BD3">
              <w:rPr>
                <w:rStyle w:val="a8"/>
                <w:rFonts w:ascii="仿宋" w:eastAsia="仿宋" w:hAnsi="仿宋" w:cstheme="majorBidi"/>
                <w:bCs/>
                <w:noProof/>
              </w:rPr>
              <w:t>般公共预算财政拨款支出决算情况说明</w:t>
            </w:r>
            <w:r w:rsidR="00A44BD3" w:rsidRPr="00A44BD3">
              <w:rPr>
                <w:rFonts w:ascii="仿宋" w:eastAsia="仿宋" w:hAnsi="仿宋"/>
                <w:noProof/>
                <w:webHidden/>
              </w:rPr>
              <w:tab/>
            </w:r>
            <w:r w:rsidRPr="00A44BD3">
              <w:rPr>
                <w:rFonts w:ascii="仿宋" w:eastAsia="仿宋" w:hAnsi="仿宋"/>
                <w:noProof/>
                <w:webHidden/>
              </w:rPr>
              <w:fldChar w:fldCharType="begin"/>
            </w:r>
            <w:r w:rsidR="00A44BD3" w:rsidRPr="00A44BD3">
              <w:rPr>
                <w:rFonts w:ascii="仿宋" w:eastAsia="仿宋" w:hAnsi="仿宋"/>
                <w:noProof/>
                <w:webHidden/>
              </w:rPr>
              <w:instrText xml:space="preserve"> PAGEREF _Toc113284428 \h </w:instrText>
            </w:r>
            <w:r w:rsidRPr="00A44BD3">
              <w:rPr>
                <w:rFonts w:ascii="仿宋" w:eastAsia="仿宋" w:hAnsi="仿宋"/>
                <w:noProof/>
                <w:webHidden/>
              </w:rPr>
            </w:r>
            <w:r w:rsidRPr="00A44BD3">
              <w:rPr>
                <w:rFonts w:ascii="仿宋" w:eastAsia="仿宋" w:hAnsi="仿宋"/>
                <w:noProof/>
                <w:webHidden/>
              </w:rPr>
              <w:fldChar w:fldCharType="separate"/>
            </w:r>
            <w:r w:rsidR="00A44BD3" w:rsidRPr="00A44BD3">
              <w:rPr>
                <w:rFonts w:ascii="仿宋" w:eastAsia="仿宋" w:hAnsi="仿宋"/>
                <w:noProof/>
                <w:webHidden/>
              </w:rPr>
              <w:t>9</w:t>
            </w:r>
            <w:r w:rsidRPr="00A44BD3">
              <w:rPr>
                <w:rFonts w:ascii="仿宋" w:eastAsia="仿宋" w:hAnsi="仿宋"/>
                <w:noProof/>
                <w:webHidden/>
              </w:rPr>
              <w:fldChar w:fldCharType="end"/>
            </w:r>
          </w:hyperlink>
        </w:p>
        <w:p w:rsidR="00A44BD3" w:rsidRPr="00A44BD3" w:rsidRDefault="00B53562" w:rsidP="00524E09">
          <w:pPr>
            <w:pStyle w:val="30"/>
            <w:adjustRightInd w:val="0"/>
            <w:snapToGrid w:val="0"/>
            <w:spacing w:line="288" w:lineRule="auto"/>
            <w:rPr>
              <w:rFonts w:ascii="仿宋" w:eastAsia="仿宋" w:hAnsi="仿宋" w:cstheme="minorBidi"/>
              <w:noProof/>
              <w:szCs w:val="22"/>
            </w:rPr>
          </w:pPr>
          <w:hyperlink w:anchor="_Toc113284429" w:history="1">
            <w:r w:rsidR="00A44BD3" w:rsidRPr="00A44BD3">
              <w:rPr>
                <w:rStyle w:val="a8"/>
                <w:rFonts w:ascii="仿宋" w:eastAsia="仿宋" w:hAnsi="仿宋" w:cs="楷体"/>
                <w:bCs/>
                <w:noProof/>
              </w:rPr>
              <w:t>（一）一般公共预算财政拨款支出决算总体情况</w:t>
            </w:r>
            <w:r w:rsidR="00A44BD3" w:rsidRPr="00A44BD3">
              <w:rPr>
                <w:rFonts w:ascii="仿宋" w:eastAsia="仿宋" w:hAnsi="仿宋"/>
                <w:noProof/>
                <w:webHidden/>
              </w:rPr>
              <w:tab/>
            </w:r>
            <w:r w:rsidRPr="00A44BD3">
              <w:rPr>
                <w:rFonts w:ascii="仿宋" w:eastAsia="仿宋" w:hAnsi="仿宋"/>
                <w:noProof/>
                <w:webHidden/>
              </w:rPr>
              <w:fldChar w:fldCharType="begin"/>
            </w:r>
            <w:r w:rsidR="00A44BD3" w:rsidRPr="00A44BD3">
              <w:rPr>
                <w:rFonts w:ascii="仿宋" w:eastAsia="仿宋" w:hAnsi="仿宋"/>
                <w:noProof/>
                <w:webHidden/>
              </w:rPr>
              <w:instrText xml:space="preserve"> PAGEREF _Toc113284429 \h </w:instrText>
            </w:r>
            <w:r w:rsidRPr="00A44BD3">
              <w:rPr>
                <w:rFonts w:ascii="仿宋" w:eastAsia="仿宋" w:hAnsi="仿宋"/>
                <w:noProof/>
                <w:webHidden/>
              </w:rPr>
            </w:r>
            <w:r w:rsidRPr="00A44BD3">
              <w:rPr>
                <w:rFonts w:ascii="仿宋" w:eastAsia="仿宋" w:hAnsi="仿宋"/>
                <w:noProof/>
                <w:webHidden/>
              </w:rPr>
              <w:fldChar w:fldCharType="separate"/>
            </w:r>
            <w:r w:rsidR="00A44BD3" w:rsidRPr="00A44BD3">
              <w:rPr>
                <w:rFonts w:ascii="仿宋" w:eastAsia="仿宋" w:hAnsi="仿宋"/>
                <w:noProof/>
                <w:webHidden/>
              </w:rPr>
              <w:t>9</w:t>
            </w:r>
            <w:r w:rsidRPr="00A44BD3">
              <w:rPr>
                <w:rFonts w:ascii="仿宋" w:eastAsia="仿宋" w:hAnsi="仿宋"/>
                <w:noProof/>
                <w:webHidden/>
              </w:rPr>
              <w:fldChar w:fldCharType="end"/>
            </w:r>
          </w:hyperlink>
        </w:p>
        <w:p w:rsidR="00A44BD3" w:rsidRPr="00A44BD3" w:rsidRDefault="00B53562" w:rsidP="00524E09">
          <w:pPr>
            <w:pStyle w:val="30"/>
            <w:adjustRightInd w:val="0"/>
            <w:snapToGrid w:val="0"/>
            <w:spacing w:line="288" w:lineRule="auto"/>
            <w:rPr>
              <w:rFonts w:ascii="仿宋" w:eastAsia="仿宋" w:hAnsi="仿宋" w:cstheme="minorBidi"/>
              <w:noProof/>
              <w:szCs w:val="22"/>
            </w:rPr>
          </w:pPr>
          <w:hyperlink w:anchor="_Toc113284430" w:history="1">
            <w:r w:rsidR="00A44BD3" w:rsidRPr="00A44BD3">
              <w:rPr>
                <w:rStyle w:val="a8"/>
                <w:rFonts w:ascii="仿宋" w:eastAsia="仿宋" w:hAnsi="仿宋" w:cs="楷体"/>
                <w:bCs/>
                <w:noProof/>
              </w:rPr>
              <w:t>（二）一般公共预算财政拨款支出决算结构情况</w:t>
            </w:r>
            <w:r w:rsidR="00A44BD3" w:rsidRPr="00A44BD3">
              <w:rPr>
                <w:rFonts w:ascii="仿宋" w:eastAsia="仿宋" w:hAnsi="仿宋"/>
                <w:noProof/>
                <w:webHidden/>
              </w:rPr>
              <w:tab/>
            </w:r>
            <w:r w:rsidRPr="00A44BD3">
              <w:rPr>
                <w:rFonts w:ascii="仿宋" w:eastAsia="仿宋" w:hAnsi="仿宋"/>
                <w:noProof/>
                <w:webHidden/>
              </w:rPr>
              <w:fldChar w:fldCharType="begin"/>
            </w:r>
            <w:r w:rsidR="00A44BD3" w:rsidRPr="00A44BD3">
              <w:rPr>
                <w:rFonts w:ascii="仿宋" w:eastAsia="仿宋" w:hAnsi="仿宋"/>
                <w:noProof/>
                <w:webHidden/>
              </w:rPr>
              <w:instrText xml:space="preserve"> PAGEREF _Toc113284430 \h </w:instrText>
            </w:r>
            <w:r w:rsidRPr="00A44BD3">
              <w:rPr>
                <w:rFonts w:ascii="仿宋" w:eastAsia="仿宋" w:hAnsi="仿宋"/>
                <w:noProof/>
                <w:webHidden/>
              </w:rPr>
            </w:r>
            <w:r w:rsidRPr="00A44BD3">
              <w:rPr>
                <w:rFonts w:ascii="仿宋" w:eastAsia="仿宋" w:hAnsi="仿宋"/>
                <w:noProof/>
                <w:webHidden/>
              </w:rPr>
              <w:fldChar w:fldCharType="separate"/>
            </w:r>
            <w:r w:rsidR="00A44BD3" w:rsidRPr="00A44BD3">
              <w:rPr>
                <w:rFonts w:ascii="仿宋" w:eastAsia="仿宋" w:hAnsi="仿宋"/>
                <w:noProof/>
                <w:webHidden/>
              </w:rPr>
              <w:t>9</w:t>
            </w:r>
            <w:r w:rsidRPr="00A44BD3">
              <w:rPr>
                <w:rFonts w:ascii="仿宋" w:eastAsia="仿宋" w:hAnsi="仿宋"/>
                <w:noProof/>
                <w:webHidden/>
              </w:rPr>
              <w:fldChar w:fldCharType="end"/>
            </w:r>
          </w:hyperlink>
        </w:p>
        <w:p w:rsidR="00A44BD3" w:rsidRPr="00A44BD3" w:rsidRDefault="00B53562" w:rsidP="00524E09">
          <w:pPr>
            <w:pStyle w:val="30"/>
            <w:adjustRightInd w:val="0"/>
            <w:snapToGrid w:val="0"/>
            <w:spacing w:line="288" w:lineRule="auto"/>
            <w:rPr>
              <w:rFonts w:ascii="仿宋" w:eastAsia="仿宋" w:hAnsi="仿宋" w:cstheme="minorBidi"/>
              <w:noProof/>
              <w:szCs w:val="22"/>
            </w:rPr>
          </w:pPr>
          <w:hyperlink w:anchor="_Toc113284431" w:history="1">
            <w:r w:rsidR="00A44BD3" w:rsidRPr="00A44BD3">
              <w:rPr>
                <w:rStyle w:val="a8"/>
                <w:rFonts w:ascii="仿宋" w:eastAsia="仿宋" w:hAnsi="仿宋" w:cs="楷体"/>
                <w:bCs/>
                <w:noProof/>
              </w:rPr>
              <w:t>（三）一般公共预算财政拨款支出决算具体情况</w:t>
            </w:r>
            <w:r w:rsidR="00A44BD3" w:rsidRPr="00A44BD3">
              <w:rPr>
                <w:rFonts w:ascii="仿宋" w:eastAsia="仿宋" w:hAnsi="仿宋"/>
                <w:noProof/>
                <w:webHidden/>
              </w:rPr>
              <w:tab/>
            </w:r>
            <w:r w:rsidRPr="00A44BD3">
              <w:rPr>
                <w:rFonts w:ascii="仿宋" w:eastAsia="仿宋" w:hAnsi="仿宋"/>
                <w:noProof/>
                <w:webHidden/>
              </w:rPr>
              <w:fldChar w:fldCharType="begin"/>
            </w:r>
            <w:r w:rsidR="00A44BD3" w:rsidRPr="00A44BD3">
              <w:rPr>
                <w:rFonts w:ascii="仿宋" w:eastAsia="仿宋" w:hAnsi="仿宋"/>
                <w:noProof/>
                <w:webHidden/>
              </w:rPr>
              <w:instrText xml:space="preserve"> PAGEREF _Toc113284431 \h </w:instrText>
            </w:r>
            <w:r w:rsidRPr="00A44BD3">
              <w:rPr>
                <w:rFonts w:ascii="仿宋" w:eastAsia="仿宋" w:hAnsi="仿宋"/>
                <w:noProof/>
                <w:webHidden/>
              </w:rPr>
            </w:r>
            <w:r w:rsidRPr="00A44BD3">
              <w:rPr>
                <w:rFonts w:ascii="仿宋" w:eastAsia="仿宋" w:hAnsi="仿宋"/>
                <w:noProof/>
                <w:webHidden/>
              </w:rPr>
              <w:fldChar w:fldCharType="separate"/>
            </w:r>
            <w:r w:rsidR="00A44BD3" w:rsidRPr="00A44BD3">
              <w:rPr>
                <w:rFonts w:ascii="仿宋" w:eastAsia="仿宋" w:hAnsi="仿宋"/>
                <w:noProof/>
                <w:webHidden/>
              </w:rPr>
              <w:t>10</w:t>
            </w:r>
            <w:r w:rsidRPr="00A44BD3">
              <w:rPr>
                <w:rFonts w:ascii="仿宋" w:eastAsia="仿宋" w:hAnsi="仿宋"/>
                <w:noProof/>
                <w:webHidden/>
              </w:rPr>
              <w:fldChar w:fldCharType="end"/>
            </w:r>
          </w:hyperlink>
        </w:p>
        <w:p w:rsidR="00A44BD3" w:rsidRPr="00A44BD3" w:rsidRDefault="00B53562" w:rsidP="00524E09">
          <w:pPr>
            <w:pStyle w:val="20"/>
            <w:adjustRightInd w:val="0"/>
            <w:snapToGrid w:val="0"/>
            <w:spacing w:line="288" w:lineRule="auto"/>
            <w:rPr>
              <w:rFonts w:ascii="仿宋" w:eastAsia="仿宋" w:hAnsi="仿宋" w:cstheme="minorBidi"/>
              <w:noProof/>
              <w:szCs w:val="22"/>
            </w:rPr>
          </w:pPr>
          <w:hyperlink w:anchor="_Toc113284432" w:history="1">
            <w:r w:rsidR="00A44BD3" w:rsidRPr="00A44BD3">
              <w:rPr>
                <w:rStyle w:val="a8"/>
                <w:rFonts w:ascii="仿宋" w:eastAsia="仿宋" w:hAnsi="仿宋"/>
                <w:noProof/>
              </w:rPr>
              <w:t>六</w:t>
            </w:r>
            <w:r w:rsidR="00A44BD3" w:rsidRPr="00A44BD3">
              <w:rPr>
                <w:rStyle w:val="a8"/>
                <w:rFonts w:ascii="仿宋" w:eastAsia="仿宋" w:hAnsi="仿宋"/>
                <w:b/>
                <w:noProof/>
              </w:rPr>
              <w:t>、一</w:t>
            </w:r>
            <w:r w:rsidR="00A44BD3" w:rsidRPr="00A44BD3">
              <w:rPr>
                <w:rStyle w:val="a8"/>
                <w:rFonts w:ascii="仿宋" w:eastAsia="仿宋" w:hAnsi="仿宋" w:cstheme="majorBidi"/>
                <w:bCs/>
                <w:noProof/>
              </w:rPr>
              <w:t>般公共预算财政拨款基本支出决算情况说明</w:t>
            </w:r>
            <w:r w:rsidR="00A44BD3" w:rsidRPr="00A44BD3">
              <w:rPr>
                <w:rFonts w:ascii="仿宋" w:eastAsia="仿宋" w:hAnsi="仿宋"/>
                <w:noProof/>
                <w:webHidden/>
              </w:rPr>
              <w:tab/>
            </w:r>
            <w:r w:rsidRPr="00A44BD3">
              <w:rPr>
                <w:rFonts w:ascii="仿宋" w:eastAsia="仿宋" w:hAnsi="仿宋"/>
                <w:noProof/>
                <w:webHidden/>
              </w:rPr>
              <w:fldChar w:fldCharType="begin"/>
            </w:r>
            <w:r w:rsidR="00A44BD3" w:rsidRPr="00A44BD3">
              <w:rPr>
                <w:rFonts w:ascii="仿宋" w:eastAsia="仿宋" w:hAnsi="仿宋"/>
                <w:noProof/>
                <w:webHidden/>
              </w:rPr>
              <w:instrText xml:space="preserve"> PAGEREF _Toc113284432 \h </w:instrText>
            </w:r>
            <w:r w:rsidRPr="00A44BD3">
              <w:rPr>
                <w:rFonts w:ascii="仿宋" w:eastAsia="仿宋" w:hAnsi="仿宋"/>
                <w:noProof/>
                <w:webHidden/>
              </w:rPr>
            </w:r>
            <w:r w:rsidRPr="00A44BD3">
              <w:rPr>
                <w:rFonts w:ascii="仿宋" w:eastAsia="仿宋" w:hAnsi="仿宋"/>
                <w:noProof/>
                <w:webHidden/>
              </w:rPr>
              <w:fldChar w:fldCharType="separate"/>
            </w:r>
            <w:r w:rsidR="00A44BD3" w:rsidRPr="00A44BD3">
              <w:rPr>
                <w:rFonts w:ascii="仿宋" w:eastAsia="仿宋" w:hAnsi="仿宋"/>
                <w:noProof/>
                <w:webHidden/>
              </w:rPr>
              <w:t>11</w:t>
            </w:r>
            <w:r w:rsidRPr="00A44BD3">
              <w:rPr>
                <w:rFonts w:ascii="仿宋" w:eastAsia="仿宋" w:hAnsi="仿宋"/>
                <w:noProof/>
                <w:webHidden/>
              </w:rPr>
              <w:fldChar w:fldCharType="end"/>
            </w:r>
          </w:hyperlink>
        </w:p>
        <w:p w:rsidR="00A44BD3" w:rsidRPr="00A44BD3" w:rsidRDefault="00B53562" w:rsidP="00524E09">
          <w:pPr>
            <w:pStyle w:val="20"/>
            <w:adjustRightInd w:val="0"/>
            <w:snapToGrid w:val="0"/>
            <w:spacing w:line="288" w:lineRule="auto"/>
            <w:rPr>
              <w:rFonts w:ascii="仿宋" w:eastAsia="仿宋" w:hAnsi="仿宋" w:cstheme="minorBidi"/>
              <w:noProof/>
              <w:szCs w:val="22"/>
            </w:rPr>
          </w:pPr>
          <w:hyperlink w:anchor="_Toc113284433" w:history="1">
            <w:r w:rsidR="00A44BD3" w:rsidRPr="00A44BD3">
              <w:rPr>
                <w:rStyle w:val="a8"/>
                <w:rFonts w:ascii="仿宋" w:eastAsia="仿宋" w:hAnsi="仿宋"/>
                <w:noProof/>
              </w:rPr>
              <w:t>七、</w:t>
            </w:r>
            <w:r w:rsidR="00A44BD3" w:rsidRPr="00237A6C">
              <w:rPr>
                <w:rStyle w:val="a8"/>
                <w:rFonts w:ascii="仿宋" w:eastAsia="仿宋" w:hAnsi="仿宋" w:cstheme="majorBidi"/>
                <w:bCs/>
                <w:noProof/>
              </w:rPr>
              <w:t>“</w:t>
            </w:r>
            <w:r w:rsidR="00A44BD3" w:rsidRPr="00A44BD3">
              <w:rPr>
                <w:rStyle w:val="a8"/>
                <w:rFonts w:ascii="仿宋" w:eastAsia="仿宋" w:hAnsi="仿宋" w:cstheme="majorBidi"/>
                <w:bCs/>
                <w:noProof/>
              </w:rPr>
              <w:t>三公”经费财政拨款支出决算情况说明</w:t>
            </w:r>
            <w:r w:rsidR="00A44BD3" w:rsidRPr="00A44BD3">
              <w:rPr>
                <w:rFonts w:ascii="仿宋" w:eastAsia="仿宋" w:hAnsi="仿宋"/>
                <w:noProof/>
                <w:webHidden/>
              </w:rPr>
              <w:tab/>
            </w:r>
            <w:r w:rsidRPr="00A44BD3">
              <w:rPr>
                <w:rFonts w:ascii="仿宋" w:eastAsia="仿宋" w:hAnsi="仿宋"/>
                <w:noProof/>
                <w:webHidden/>
              </w:rPr>
              <w:fldChar w:fldCharType="begin"/>
            </w:r>
            <w:r w:rsidR="00A44BD3" w:rsidRPr="00A44BD3">
              <w:rPr>
                <w:rFonts w:ascii="仿宋" w:eastAsia="仿宋" w:hAnsi="仿宋"/>
                <w:noProof/>
                <w:webHidden/>
              </w:rPr>
              <w:instrText xml:space="preserve"> PAGEREF _Toc113284433 \h </w:instrText>
            </w:r>
            <w:r w:rsidRPr="00A44BD3">
              <w:rPr>
                <w:rFonts w:ascii="仿宋" w:eastAsia="仿宋" w:hAnsi="仿宋"/>
                <w:noProof/>
                <w:webHidden/>
              </w:rPr>
            </w:r>
            <w:r w:rsidRPr="00A44BD3">
              <w:rPr>
                <w:rFonts w:ascii="仿宋" w:eastAsia="仿宋" w:hAnsi="仿宋"/>
                <w:noProof/>
                <w:webHidden/>
              </w:rPr>
              <w:fldChar w:fldCharType="separate"/>
            </w:r>
            <w:r w:rsidR="00A44BD3" w:rsidRPr="00A44BD3">
              <w:rPr>
                <w:rFonts w:ascii="仿宋" w:eastAsia="仿宋" w:hAnsi="仿宋"/>
                <w:noProof/>
                <w:webHidden/>
              </w:rPr>
              <w:t>12</w:t>
            </w:r>
            <w:r w:rsidRPr="00A44BD3">
              <w:rPr>
                <w:rFonts w:ascii="仿宋" w:eastAsia="仿宋" w:hAnsi="仿宋"/>
                <w:noProof/>
                <w:webHidden/>
              </w:rPr>
              <w:fldChar w:fldCharType="end"/>
            </w:r>
          </w:hyperlink>
        </w:p>
        <w:p w:rsidR="00A44BD3" w:rsidRPr="00A44BD3" w:rsidRDefault="00B53562" w:rsidP="00524E09">
          <w:pPr>
            <w:pStyle w:val="30"/>
            <w:adjustRightInd w:val="0"/>
            <w:snapToGrid w:val="0"/>
            <w:spacing w:line="288" w:lineRule="auto"/>
            <w:rPr>
              <w:rFonts w:ascii="仿宋" w:eastAsia="仿宋" w:hAnsi="仿宋" w:cstheme="minorBidi"/>
              <w:noProof/>
              <w:szCs w:val="22"/>
            </w:rPr>
          </w:pPr>
          <w:hyperlink w:anchor="_Toc113284434" w:history="1">
            <w:r w:rsidR="00A44BD3" w:rsidRPr="00A44BD3">
              <w:rPr>
                <w:rStyle w:val="a8"/>
                <w:rFonts w:ascii="仿宋" w:eastAsia="仿宋" w:hAnsi="仿宋" w:cs="楷体"/>
                <w:bCs/>
                <w:noProof/>
              </w:rPr>
              <w:t>（一）“三公”经费财政拨款支出决算总体情况说明</w:t>
            </w:r>
            <w:r w:rsidR="00A44BD3" w:rsidRPr="00A44BD3">
              <w:rPr>
                <w:rFonts w:ascii="仿宋" w:eastAsia="仿宋" w:hAnsi="仿宋"/>
                <w:noProof/>
                <w:webHidden/>
              </w:rPr>
              <w:tab/>
            </w:r>
            <w:r w:rsidRPr="00A44BD3">
              <w:rPr>
                <w:rFonts w:ascii="仿宋" w:eastAsia="仿宋" w:hAnsi="仿宋"/>
                <w:noProof/>
                <w:webHidden/>
              </w:rPr>
              <w:fldChar w:fldCharType="begin"/>
            </w:r>
            <w:r w:rsidR="00A44BD3" w:rsidRPr="00A44BD3">
              <w:rPr>
                <w:rFonts w:ascii="仿宋" w:eastAsia="仿宋" w:hAnsi="仿宋"/>
                <w:noProof/>
                <w:webHidden/>
              </w:rPr>
              <w:instrText xml:space="preserve"> PAGEREF _Toc113284434 \h </w:instrText>
            </w:r>
            <w:r w:rsidRPr="00A44BD3">
              <w:rPr>
                <w:rFonts w:ascii="仿宋" w:eastAsia="仿宋" w:hAnsi="仿宋"/>
                <w:noProof/>
                <w:webHidden/>
              </w:rPr>
            </w:r>
            <w:r w:rsidRPr="00A44BD3">
              <w:rPr>
                <w:rFonts w:ascii="仿宋" w:eastAsia="仿宋" w:hAnsi="仿宋"/>
                <w:noProof/>
                <w:webHidden/>
              </w:rPr>
              <w:fldChar w:fldCharType="separate"/>
            </w:r>
            <w:r w:rsidR="00A44BD3" w:rsidRPr="00A44BD3">
              <w:rPr>
                <w:rFonts w:ascii="仿宋" w:eastAsia="仿宋" w:hAnsi="仿宋"/>
                <w:noProof/>
                <w:webHidden/>
              </w:rPr>
              <w:t>12</w:t>
            </w:r>
            <w:r w:rsidRPr="00A44BD3">
              <w:rPr>
                <w:rFonts w:ascii="仿宋" w:eastAsia="仿宋" w:hAnsi="仿宋"/>
                <w:noProof/>
                <w:webHidden/>
              </w:rPr>
              <w:fldChar w:fldCharType="end"/>
            </w:r>
          </w:hyperlink>
        </w:p>
        <w:p w:rsidR="00A44BD3" w:rsidRPr="00A44BD3" w:rsidRDefault="00B53562" w:rsidP="00524E09">
          <w:pPr>
            <w:pStyle w:val="30"/>
            <w:adjustRightInd w:val="0"/>
            <w:snapToGrid w:val="0"/>
            <w:spacing w:line="288" w:lineRule="auto"/>
            <w:rPr>
              <w:rFonts w:ascii="仿宋" w:eastAsia="仿宋" w:hAnsi="仿宋" w:cstheme="minorBidi"/>
              <w:noProof/>
              <w:szCs w:val="22"/>
            </w:rPr>
          </w:pPr>
          <w:hyperlink w:anchor="_Toc113284435" w:history="1">
            <w:r w:rsidR="00A44BD3" w:rsidRPr="00A44BD3">
              <w:rPr>
                <w:rStyle w:val="a8"/>
                <w:rFonts w:ascii="仿宋" w:eastAsia="仿宋" w:hAnsi="仿宋" w:cs="楷体"/>
                <w:bCs/>
                <w:noProof/>
              </w:rPr>
              <w:t>（二）“三公”经费财政拨款支出决算具体情况说明</w:t>
            </w:r>
            <w:r w:rsidR="00A44BD3" w:rsidRPr="00A44BD3">
              <w:rPr>
                <w:rFonts w:ascii="仿宋" w:eastAsia="仿宋" w:hAnsi="仿宋"/>
                <w:noProof/>
                <w:webHidden/>
              </w:rPr>
              <w:tab/>
            </w:r>
            <w:r w:rsidRPr="00A44BD3">
              <w:rPr>
                <w:rFonts w:ascii="仿宋" w:eastAsia="仿宋" w:hAnsi="仿宋"/>
                <w:noProof/>
                <w:webHidden/>
              </w:rPr>
              <w:fldChar w:fldCharType="begin"/>
            </w:r>
            <w:r w:rsidR="00A44BD3" w:rsidRPr="00A44BD3">
              <w:rPr>
                <w:rFonts w:ascii="仿宋" w:eastAsia="仿宋" w:hAnsi="仿宋"/>
                <w:noProof/>
                <w:webHidden/>
              </w:rPr>
              <w:instrText xml:space="preserve"> PAGEREF _Toc113284435 \h </w:instrText>
            </w:r>
            <w:r w:rsidRPr="00A44BD3">
              <w:rPr>
                <w:rFonts w:ascii="仿宋" w:eastAsia="仿宋" w:hAnsi="仿宋"/>
                <w:noProof/>
                <w:webHidden/>
              </w:rPr>
            </w:r>
            <w:r w:rsidRPr="00A44BD3">
              <w:rPr>
                <w:rFonts w:ascii="仿宋" w:eastAsia="仿宋" w:hAnsi="仿宋"/>
                <w:noProof/>
                <w:webHidden/>
              </w:rPr>
              <w:fldChar w:fldCharType="separate"/>
            </w:r>
            <w:r w:rsidR="00A44BD3" w:rsidRPr="00A44BD3">
              <w:rPr>
                <w:rFonts w:ascii="仿宋" w:eastAsia="仿宋" w:hAnsi="仿宋"/>
                <w:noProof/>
                <w:webHidden/>
              </w:rPr>
              <w:t>12</w:t>
            </w:r>
            <w:r w:rsidRPr="00A44BD3">
              <w:rPr>
                <w:rFonts w:ascii="仿宋" w:eastAsia="仿宋" w:hAnsi="仿宋"/>
                <w:noProof/>
                <w:webHidden/>
              </w:rPr>
              <w:fldChar w:fldCharType="end"/>
            </w:r>
          </w:hyperlink>
        </w:p>
        <w:p w:rsidR="00A44BD3" w:rsidRPr="00A44BD3" w:rsidRDefault="00B53562" w:rsidP="00524E09">
          <w:pPr>
            <w:pStyle w:val="20"/>
            <w:adjustRightInd w:val="0"/>
            <w:snapToGrid w:val="0"/>
            <w:spacing w:line="288" w:lineRule="auto"/>
            <w:rPr>
              <w:rFonts w:ascii="仿宋" w:eastAsia="仿宋" w:hAnsi="仿宋" w:cstheme="minorBidi"/>
              <w:noProof/>
              <w:szCs w:val="22"/>
            </w:rPr>
          </w:pPr>
          <w:hyperlink w:anchor="_Toc113284436" w:history="1">
            <w:r w:rsidR="00A44BD3" w:rsidRPr="00A44BD3">
              <w:rPr>
                <w:rStyle w:val="a8"/>
                <w:rFonts w:ascii="仿宋" w:eastAsia="仿宋" w:hAnsi="仿宋" w:cs="黑体"/>
                <w:noProof/>
              </w:rPr>
              <w:t>八、</w:t>
            </w:r>
            <w:r w:rsidR="00A44BD3" w:rsidRPr="00A44BD3">
              <w:rPr>
                <w:rStyle w:val="a8"/>
                <w:rFonts w:ascii="仿宋" w:eastAsia="仿宋" w:hAnsi="仿宋" w:cs="黑体"/>
                <w:bCs/>
                <w:noProof/>
              </w:rPr>
              <w:t>政府性基金预算支出决算情况说明</w:t>
            </w:r>
            <w:r w:rsidR="00A44BD3" w:rsidRPr="00A44BD3">
              <w:rPr>
                <w:rFonts w:ascii="仿宋" w:eastAsia="仿宋" w:hAnsi="仿宋"/>
                <w:noProof/>
                <w:webHidden/>
              </w:rPr>
              <w:tab/>
            </w:r>
            <w:r w:rsidRPr="00A44BD3">
              <w:rPr>
                <w:rFonts w:ascii="仿宋" w:eastAsia="仿宋" w:hAnsi="仿宋"/>
                <w:noProof/>
                <w:webHidden/>
              </w:rPr>
              <w:fldChar w:fldCharType="begin"/>
            </w:r>
            <w:r w:rsidR="00A44BD3" w:rsidRPr="00A44BD3">
              <w:rPr>
                <w:rFonts w:ascii="仿宋" w:eastAsia="仿宋" w:hAnsi="仿宋"/>
                <w:noProof/>
                <w:webHidden/>
              </w:rPr>
              <w:instrText xml:space="preserve"> PAGEREF _Toc113284436 \h </w:instrText>
            </w:r>
            <w:r w:rsidRPr="00A44BD3">
              <w:rPr>
                <w:rFonts w:ascii="仿宋" w:eastAsia="仿宋" w:hAnsi="仿宋"/>
                <w:noProof/>
                <w:webHidden/>
              </w:rPr>
            </w:r>
            <w:r w:rsidRPr="00A44BD3">
              <w:rPr>
                <w:rFonts w:ascii="仿宋" w:eastAsia="仿宋" w:hAnsi="仿宋"/>
                <w:noProof/>
                <w:webHidden/>
              </w:rPr>
              <w:fldChar w:fldCharType="separate"/>
            </w:r>
            <w:r w:rsidR="00A44BD3" w:rsidRPr="00A44BD3">
              <w:rPr>
                <w:rFonts w:ascii="仿宋" w:eastAsia="仿宋" w:hAnsi="仿宋"/>
                <w:noProof/>
                <w:webHidden/>
              </w:rPr>
              <w:t>14</w:t>
            </w:r>
            <w:r w:rsidRPr="00A44BD3">
              <w:rPr>
                <w:rFonts w:ascii="仿宋" w:eastAsia="仿宋" w:hAnsi="仿宋"/>
                <w:noProof/>
                <w:webHidden/>
              </w:rPr>
              <w:fldChar w:fldCharType="end"/>
            </w:r>
          </w:hyperlink>
        </w:p>
        <w:p w:rsidR="00A44BD3" w:rsidRPr="00A44BD3" w:rsidRDefault="00B53562" w:rsidP="00524E09">
          <w:pPr>
            <w:pStyle w:val="20"/>
            <w:adjustRightInd w:val="0"/>
            <w:snapToGrid w:val="0"/>
            <w:spacing w:line="288" w:lineRule="auto"/>
            <w:rPr>
              <w:rFonts w:ascii="仿宋" w:eastAsia="仿宋" w:hAnsi="仿宋" w:cstheme="minorBidi"/>
              <w:noProof/>
              <w:szCs w:val="22"/>
            </w:rPr>
          </w:pPr>
          <w:hyperlink w:anchor="_Toc113284437" w:history="1">
            <w:r w:rsidR="00A44BD3" w:rsidRPr="00A44BD3">
              <w:rPr>
                <w:rStyle w:val="a8"/>
                <w:rFonts w:ascii="仿宋" w:eastAsia="仿宋" w:hAnsi="仿宋" w:cs="黑体"/>
                <w:noProof/>
              </w:rPr>
              <w:t>九、国有资本经营预算支出决算情况说明</w:t>
            </w:r>
            <w:r w:rsidR="00A44BD3" w:rsidRPr="00A44BD3">
              <w:rPr>
                <w:rFonts w:ascii="仿宋" w:eastAsia="仿宋" w:hAnsi="仿宋"/>
                <w:noProof/>
                <w:webHidden/>
              </w:rPr>
              <w:tab/>
            </w:r>
            <w:r w:rsidRPr="00A44BD3">
              <w:rPr>
                <w:rFonts w:ascii="仿宋" w:eastAsia="仿宋" w:hAnsi="仿宋"/>
                <w:noProof/>
                <w:webHidden/>
              </w:rPr>
              <w:fldChar w:fldCharType="begin"/>
            </w:r>
            <w:r w:rsidR="00A44BD3" w:rsidRPr="00A44BD3">
              <w:rPr>
                <w:rFonts w:ascii="仿宋" w:eastAsia="仿宋" w:hAnsi="仿宋"/>
                <w:noProof/>
                <w:webHidden/>
              </w:rPr>
              <w:instrText xml:space="preserve"> PAGEREF _Toc113284437 \h </w:instrText>
            </w:r>
            <w:r w:rsidRPr="00A44BD3">
              <w:rPr>
                <w:rFonts w:ascii="仿宋" w:eastAsia="仿宋" w:hAnsi="仿宋"/>
                <w:noProof/>
                <w:webHidden/>
              </w:rPr>
            </w:r>
            <w:r w:rsidRPr="00A44BD3">
              <w:rPr>
                <w:rFonts w:ascii="仿宋" w:eastAsia="仿宋" w:hAnsi="仿宋"/>
                <w:noProof/>
                <w:webHidden/>
              </w:rPr>
              <w:fldChar w:fldCharType="separate"/>
            </w:r>
            <w:r w:rsidR="00A44BD3" w:rsidRPr="00A44BD3">
              <w:rPr>
                <w:rFonts w:ascii="仿宋" w:eastAsia="仿宋" w:hAnsi="仿宋"/>
                <w:noProof/>
                <w:webHidden/>
              </w:rPr>
              <w:t>14</w:t>
            </w:r>
            <w:r w:rsidRPr="00A44BD3">
              <w:rPr>
                <w:rFonts w:ascii="仿宋" w:eastAsia="仿宋" w:hAnsi="仿宋"/>
                <w:noProof/>
                <w:webHidden/>
              </w:rPr>
              <w:fldChar w:fldCharType="end"/>
            </w:r>
          </w:hyperlink>
        </w:p>
        <w:p w:rsidR="00A44BD3" w:rsidRPr="00A44BD3" w:rsidRDefault="00B53562" w:rsidP="00524E09">
          <w:pPr>
            <w:pStyle w:val="20"/>
            <w:adjustRightInd w:val="0"/>
            <w:snapToGrid w:val="0"/>
            <w:spacing w:line="288" w:lineRule="auto"/>
            <w:rPr>
              <w:rFonts w:ascii="仿宋" w:eastAsia="仿宋" w:hAnsi="仿宋" w:cstheme="minorBidi"/>
              <w:noProof/>
              <w:szCs w:val="22"/>
            </w:rPr>
          </w:pPr>
          <w:hyperlink w:anchor="_Toc113284438" w:history="1">
            <w:r w:rsidR="00A44BD3" w:rsidRPr="00A44BD3">
              <w:rPr>
                <w:rStyle w:val="a8"/>
                <w:rFonts w:ascii="仿宋" w:eastAsia="仿宋" w:hAnsi="仿宋" w:cs="黑体"/>
                <w:noProof/>
              </w:rPr>
              <w:t>十、其他重要事项的情况说明</w:t>
            </w:r>
            <w:r w:rsidR="00A44BD3" w:rsidRPr="00A44BD3">
              <w:rPr>
                <w:rFonts w:ascii="仿宋" w:eastAsia="仿宋" w:hAnsi="仿宋"/>
                <w:noProof/>
                <w:webHidden/>
              </w:rPr>
              <w:tab/>
            </w:r>
            <w:r w:rsidRPr="00A44BD3">
              <w:rPr>
                <w:rFonts w:ascii="仿宋" w:eastAsia="仿宋" w:hAnsi="仿宋"/>
                <w:noProof/>
                <w:webHidden/>
              </w:rPr>
              <w:fldChar w:fldCharType="begin"/>
            </w:r>
            <w:r w:rsidR="00A44BD3" w:rsidRPr="00A44BD3">
              <w:rPr>
                <w:rFonts w:ascii="仿宋" w:eastAsia="仿宋" w:hAnsi="仿宋"/>
                <w:noProof/>
                <w:webHidden/>
              </w:rPr>
              <w:instrText xml:space="preserve"> PAGEREF _Toc113284438 \h </w:instrText>
            </w:r>
            <w:r w:rsidRPr="00A44BD3">
              <w:rPr>
                <w:rFonts w:ascii="仿宋" w:eastAsia="仿宋" w:hAnsi="仿宋"/>
                <w:noProof/>
                <w:webHidden/>
              </w:rPr>
            </w:r>
            <w:r w:rsidRPr="00A44BD3">
              <w:rPr>
                <w:rFonts w:ascii="仿宋" w:eastAsia="仿宋" w:hAnsi="仿宋"/>
                <w:noProof/>
                <w:webHidden/>
              </w:rPr>
              <w:fldChar w:fldCharType="separate"/>
            </w:r>
            <w:r w:rsidR="00A44BD3" w:rsidRPr="00A44BD3">
              <w:rPr>
                <w:rFonts w:ascii="仿宋" w:eastAsia="仿宋" w:hAnsi="仿宋"/>
                <w:noProof/>
                <w:webHidden/>
              </w:rPr>
              <w:t>14</w:t>
            </w:r>
            <w:r w:rsidRPr="00A44BD3">
              <w:rPr>
                <w:rFonts w:ascii="仿宋" w:eastAsia="仿宋" w:hAnsi="仿宋"/>
                <w:noProof/>
                <w:webHidden/>
              </w:rPr>
              <w:fldChar w:fldCharType="end"/>
            </w:r>
          </w:hyperlink>
        </w:p>
        <w:p w:rsidR="00A44BD3" w:rsidRPr="00A44BD3" w:rsidRDefault="00B53562" w:rsidP="00524E09">
          <w:pPr>
            <w:pStyle w:val="30"/>
            <w:adjustRightInd w:val="0"/>
            <w:snapToGrid w:val="0"/>
            <w:spacing w:line="288" w:lineRule="auto"/>
            <w:rPr>
              <w:rFonts w:ascii="仿宋" w:eastAsia="仿宋" w:hAnsi="仿宋" w:cstheme="minorBidi"/>
              <w:noProof/>
              <w:szCs w:val="22"/>
            </w:rPr>
          </w:pPr>
          <w:hyperlink w:anchor="_Toc113284439" w:history="1">
            <w:r w:rsidR="00A44BD3" w:rsidRPr="00A44BD3">
              <w:rPr>
                <w:rStyle w:val="a8"/>
                <w:rFonts w:ascii="仿宋" w:eastAsia="仿宋" w:hAnsi="仿宋" w:cs="楷体"/>
                <w:noProof/>
              </w:rPr>
              <w:t>（一）机关运行经费支出情况</w:t>
            </w:r>
            <w:r w:rsidR="00A44BD3" w:rsidRPr="00A44BD3">
              <w:rPr>
                <w:rFonts w:ascii="仿宋" w:eastAsia="仿宋" w:hAnsi="仿宋"/>
                <w:noProof/>
                <w:webHidden/>
              </w:rPr>
              <w:tab/>
            </w:r>
            <w:r w:rsidRPr="00A44BD3">
              <w:rPr>
                <w:rFonts w:ascii="仿宋" w:eastAsia="仿宋" w:hAnsi="仿宋"/>
                <w:noProof/>
                <w:webHidden/>
              </w:rPr>
              <w:fldChar w:fldCharType="begin"/>
            </w:r>
            <w:r w:rsidR="00A44BD3" w:rsidRPr="00A44BD3">
              <w:rPr>
                <w:rFonts w:ascii="仿宋" w:eastAsia="仿宋" w:hAnsi="仿宋"/>
                <w:noProof/>
                <w:webHidden/>
              </w:rPr>
              <w:instrText xml:space="preserve"> PAGEREF _Toc113284439 \h </w:instrText>
            </w:r>
            <w:r w:rsidRPr="00A44BD3">
              <w:rPr>
                <w:rFonts w:ascii="仿宋" w:eastAsia="仿宋" w:hAnsi="仿宋"/>
                <w:noProof/>
                <w:webHidden/>
              </w:rPr>
            </w:r>
            <w:r w:rsidRPr="00A44BD3">
              <w:rPr>
                <w:rFonts w:ascii="仿宋" w:eastAsia="仿宋" w:hAnsi="仿宋"/>
                <w:noProof/>
                <w:webHidden/>
              </w:rPr>
              <w:fldChar w:fldCharType="separate"/>
            </w:r>
            <w:r w:rsidR="00A44BD3" w:rsidRPr="00A44BD3">
              <w:rPr>
                <w:rFonts w:ascii="仿宋" w:eastAsia="仿宋" w:hAnsi="仿宋"/>
                <w:noProof/>
                <w:webHidden/>
              </w:rPr>
              <w:t>14</w:t>
            </w:r>
            <w:r w:rsidRPr="00A44BD3">
              <w:rPr>
                <w:rFonts w:ascii="仿宋" w:eastAsia="仿宋" w:hAnsi="仿宋"/>
                <w:noProof/>
                <w:webHidden/>
              </w:rPr>
              <w:fldChar w:fldCharType="end"/>
            </w:r>
          </w:hyperlink>
        </w:p>
        <w:p w:rsidR="00A44BD3" w:rsidRPr="00A44BD3" w:rsidRDefault="00B53562" w:rsidP="00524E09">
          <w:pPr>
            <w:pStyle w:val="30"/>
            <w:adjustRightInd w:val="0"/>
            <w:snapToGrid w:val="0"/>
            <w:spacing w:line="288" w:lineRule="auto"/>
            <w:rPr>
              <w:rFonts w:ascii="仿宋" w:eastAsia="仿宋" w:hAnsi="仿宋" w:cstheme="minorBidi"/>
              <w:noProof/>
              <w:szCs w:val="22"/>
            </w:rPr>
          </w:pPr>
          <w:hyperlink w:anchor="_Toc113284440" w:history="1">
            <w:r w:rsidR="00A44BD3" w:rsidRPr="00A44BD3">
              <w:rPr>
                <w:rStyle w:val="a8"/>
                <w:rFonts w:ascii="仿宋" w:eastAsia="仿宋" w:hAnsi="仿宋" w:cs="楷体"/>
                <w:noProof/>
              </w:rPr>
              <w:t>（二）政府采购支出情况</w:t>
            </w:r>
            <w:r w:rsidR="00A44BD3" w:rsidRPr="00A44BD3">
              <w:rPr>
                <w:rFonts w:ascii="仿宋" w:eastAsia="仿宋" w:hAnsi="仿宋"/>
                <w:noProof/>
                <w:webHidden/>
              </w:rPr>
              <w:tab/>
            </w:r>
            <w:r w:rsidRPr="00A44BD3">
              <w:rPr>
                <w:rFonts w:ascii="仿宋" w:eastAsia="仿宋" w:hAnsi="仿宋"/>
                <w:noProof/>
                <w:webHidden/>
              </w:rPr>
              <w:fldChar w:fldCharType="begin"/>
            </w:r>
            <w:r w:rsidR="00A44BD3" w:rsidRPr="00A44BD3">
              <w:rPr>
                <w:rFonts w:ascii="仿宋" w:eastAsia="仿宋" w:hAnsi="仿宋"/>
                <w:noProof/>
                <w:webHidden/>
              </w:rPr>
              <w:instrText xml:space="preserve"> PAGEREF _Toc113284440 \h </w:instrText>
            </w:r>
            <w:r w:rsidRPr="00A44BD3">
              <w:rPr>
                <w:rFonts w:ascii="仿宋" w:eastAsia="仿宋" w:hAnsi="仿宋"/>
                <w:noProof/>
                <w:webHidden/>
              </w:rPr>
            </w:r>
            <w:r w:rsidRPr="00A44BD3">
              <w:rPr>
                <w:rFonts w:ascii="仿宋" w:eastAsia="仿宋" w:hAnsi="仿宋"/>
                <w:noProof/>
                <w:webHidden/>
              </w:rPr>
              <w:fldChar w:fldCharType="separate"/>
            </w:r>
            <w:r w:rsidR="00A44BD3" w:rsidRPr="00A44BD3">
              <w:rPr>
                <w:rFonts w:ascii="仿宋" w:eastAsia="仿宋" w:hAnsi="仿宋"/>
                <w:noProof/>
                <w:webHidden/>
              </w:rPr>
              <w:t>14</w:t>
            </w:r>
            <w:r w:rsidRPr="00A44BD3">
              <w:rPr>
                <w:rFonts w:ascii="仿宋" w:eastAsia="仿宋" w:hAnsi="仿宋"/>
                <w:noProof/>
                <w:webHidden/>
              </w:rPr>
              <w:fldChar w:fldCharType="end"/>
            </w:r>
          </w:hyperlink>
        </w:p>
        <w:p w:rsidR="00A44BD3" w:rsidRPr="00A44BD3" w:rsidRDefault="00B53562" w:rsidP="00524E09">
          <w:pPr>
            <w:pStyle w:val="30"/>
            <w:adjustRightInd w:val="0"/>
            <w:snapToGrid w:val="0"/>
            <w:spacing w:line="288" w:lineRule="auto"/>
            <w:rPr>
              <w:rFonts w:ascii="仿宋" w:eastAsia="仿宋" w:hAnsi="仿宋" w:cstheme="minorBidi"/>
              <w:noProof/>
              <w:szCs w:val="22"/>
            </w:rPr>
          </w:pPr>
          <w:hyperlink w:anchor="_Toc113284441" w:history="1">
            <w:r w:rsidR="00A44BD3" w:rsidRPr="00A44BD3">
              <w:rPr>
                <w:rStyle w:val="a8"/>
                <w:rFonts w:ascii="仿宋" w:eastAsia="仿宋" w:hAnsi="仿宋" w:cs="楷体"/>
                <w:noProof/>
              </w:rPr>
              <w:t>（三）国有资产占有使用情况</w:t>
            </w:r>
            <w:r w:rsidR="00A44BD3" w:rsidRPr="00A44BD3">
              <w:rPr>
                <w:rFonts w:ascii="仿宋" w:eastAsia="仿宋" w:hAnsi="仿宋"/>
                <w:noProof/>
                <w:webHidden/>
              </w:rPr>
              <w:tab/>
            </w:r>
            <w:r w:rsidRPr="00A44BD3">
              <w:rPr>
                <w:rFonts w:ascii="仿宋" w:eastAsia="仿宋" w:hAnsi="仿宋"/>
                <w:noProof/>
                <w:webHidden/>
              </w:rPr>
              <w:fldChar w:fldCharType="begin"/>
            </w:r>
            <w:r w:rsidR="00A44BD3" w:rsidRPr="00A44BD3">
              <w:rPr>
                <w:rFonts w:ascii="仿宋" w:eastAsia="仿宋" w:hAnsi="仿宋"/>
                <w:noProof/>
                <w:webHidden/>
              </w:rPr>
              <w:instrText xml:space="preserve"> PAGEREF _Toc113284441 \h </w:instrText>
            </w:r>
            <w:r w:rsidRPr="00A44BD3">
              <w:rPr>
                <w:rFonts w:ascii="仿宋" w:eastAsia="仿宋" w:hAnsi="仿宋"/>
                <w:noProof/>
                <w:webHidden/>
              </w:rPr>
            </w:r>
            <w:r w:rsidRPr="00A44BD3">
              <w:rPr>
                <w:rFonts w:ascii="仿宋" w:eastAsia="仿宋" w:hAnsi="仿宋"/>
                <w:noProof/>
                <w:webHidden/>
              </w:rPr>
              <w:fldChar w:fldCharType="separate"/>
            </w:r>
            <w:r w:rsidR="00A44BD3" w:rsidRPr="00A44BD3">
              <w:rPr>
                <w:rFonts w:ascii="仿宋" w:eastAsia="仿宋" w:hAnsi="仿宋"/>
                <w:noProof/>
                <w:webHidden/>
              </w:rPr>
              <w:t>14</w:t>
            </w:r>
            <w:r w:rsidRPr="00A44BD3">
              <w:rPr>
                <w:rFonts w:ascii="仿宋" w:eastAsia="仿宋" w:hAnsi="仿宋"/>
                <w:noProof/>
                <w:webHidden/>
              </w:rPr>
              <w:fldChar w:fldCharType="end"/>
            </w:r>
          </w:hyperlink>
        </w:p>
        <w:p w:rsidR="00A44BD3" w:rsidRPr="00A44BD3" w:rsidRDefault="00B53562" w:rsidP="00524E09">
          <w:pPr>
            <w:pStyle w:val="30"/>
            <w:adjustRightInd w:val="0"/>
            <w:snapToGrid w:val="0"/>
            <w:spacing w:line="288" w:lineRule="auto"/>
            <w:rPr>
              <w:rFonts w:ascii="仿宋" w:eastAsia="仿宋" w:hAnsi="仿宋" w:cstheme="minorBidi"/>
              <w:noProof/>
              <w:szCs w:val="22"/>
            </w:rPr>
          </w:pPr>
          <w:hyperlink w:anchor="_Toc113284442" w:history="1">
            <w:r w:rsidR="00A44BD3" w:rsidRPr="00A44BD3">
              <w:rPr>
                <w:rStyle w:val="a8"/>
                <w:rFonts w:ascii="仿宋" w:eastAsia="仿宋" w:hAnsi="仿宋" w:cs="楷体"/>
                <w:noProof/>
              </w:rPr>
              <w:t>（四）预算绩效管理情况</w:t>
            </w:r>
            <w:r w:rsidR="00A44BD3" w:rsidRPr="00A44BD3">
              <w:rPr>
                <w:rFonts w:ascii="仿宋" w:eastAsia="仿宋" w:hAnsi="仿宋"/>
                <w:noProof/>
                <w:webHidden/>
              </w:rPr>
              <w:tab/>
            </w:r>
            <w:r w:rsidRPr="00A44BD3">
              <w:rPr>
                <w:rFonts w:ascii="仿宋" w:eastAsia="仿宋" w:hAnsi="仿宋"/>
                <w:noProof/>
                <w:webHidden/>
              </w:rPr>
              <w:fldChar w:fldCharType="begin"/>
            </w:r>
            <w:r w:rsidR="00A44BD3" w:rsidRPr="00A44BD3">
              <w:rPr>
                <w:rFonts w:ascii="仿宋" w:eastAsia="仿宋" w:hAnsi="仿宋"/>
                <w:noProof/>
                <w:webHidden/>
              </w:rPr>
              <w:instrText xml:space="preserve"> PAGEREF _Toc113284442 \h </w:instrText>
            </w:r>
            <w:r w:rsidRPr="00A44BD3">
              <w:rPr>
                <w:rFonts w:ascii="仿宋" w:eastAsia="仿宋" w:hAnsi="仿宋"/>
                <w:noProof/>
                <w:webHidden/>
              </w:rPr>
            </w:r>
            <w:r w:rsidRPr="00A44BD3">
              <w:rPr>
                <w:rFonts w:ascii="仿宋" w:eastAsia="仿宋" w:hAnsi="仿宋"/>
                <w:noProof/>
                <w:webHidden/>
              </w:rPr>
              <w:fldChar w:fldCharType="separate"/>
            </w:r>
            <w:r w:rsidR="00A44BD3" w:rsidRPr="00A44BD3">
              <w:rPr>
                <w:rFonts w:ascii="仿宋" w:eastAsia="仿宋" w:hAnsi="仿宋"/>
                <w:noProof/>
                <w:webHidden/>
              </w:rPr>
              <w:t>15</w:t>
            </w:r>
            <w:r w:rsidRPr="00A44BD3">
              <w:rPr>
                <w:rFonts w:ascii="仿宋" w:eastAsia="仿宋" w:hAnsi="仿宋"/>
                <w:noProof/>
                <w:webHidden/>
              </w:rPr>
              <w:fldChar w:fldCharType="end"/>
            </w:r>
          </w:hyperlink>
        </w:p>
        <w:p w:rsidR="00A44BD3" w:rsidRPr="00A44BD3" w:rsidRDefault="00B53562" w:rsidP="00524E09">
          <w:pPr>
            <w:pStyle w:val="10"/>
            <w:adjustRightInd w:val="0"/>
            <w:snapToGrid w:val="0"/>
            <w:spacing w:before="0" w:line="288" w:lineRule="auto"/>
            <w:rPr>
              <w:rFonts w:cstheme="minorBidi"/>
              <w:noProof/>
              <w:sz w:val="21"/>
              <w:szCs w:val="22"/>
            </w:rPr>
          </w:pPr>
          <w:hyperlink w:anchor="_Toc113284443" w:history="1">
            <w:r w:rsidR="00A44BD3" w:rsidRPr="00A44BD3">
              <w:rPr>
                <w:rStyle w:val="a8"/>
                <w:noProof/>
              </w:rPr>
              <w:t>第三部分名</w:t>
            </w:r>
            <w:r w:rsidR="00A44BD3" w:rsidRPr="00A44BD3">
              <w:rPr>
                <w:rStyle w:val="a8"/>
                <w:bCs/>
                <w:noProof/>
                <w:kern w:val="44"/>
              </w:rPr>
              <w:t>词解释</w:t>
            </w:r>
            <w:r w:rsidR="00A44BD3" w:rsidRPr="00A44BD3">
              <w:rPr>
                <w:noProof/>
                <w:webHidden/>
              </w:rPr>
              <w:tab/>
            </w:r>
            <w:r w:rsidRPr="00237A6C">
              <w:rPr>
                <w:noProof/>
                <w:webHidden/>
                <w:sz w:val="21"/>
                <w:szCs w:val="21"/>
              </w:rPr>
              <w:fldChar w:fldCharType="begin"/>
            </w:r>
            <w:r w:rsidR="00A44BD3" w:rsidRPr="00237A6C">
              <w:rPr>
                <w:noProof/>
                <w:webHidden/>
                <w:sz w:val="21"/>
                <w:szCs w:val="21"/>
              </w:rPr>
              <w:instrText xml:space="preserve"> PAGEREF _Toc113284443 \h </w:instrText>
            </w:r>
            <w:r w:rsidRPr="00237A6C">
              <w:rPr>
                <w:noProof/>
                <w:webHidden/>
                <w:sz w:val="21"/>
                <w:szCs w:val="21"/>
              </w:rPr>
            </w:r>
            <w:r w:rsidRPr="00237A6C">
              <w:rPr>
                <w:noProof/>
                <w:webHidden/>
                <w:sz w:val="21"/>
                <w:szCs w:val="21"/>
              </w:rPr>
              <w:fldChar w:fldCharType="separate"/>
            </w:r>
            <w:r w:rsidR="00A44BD3" w:rsidRPr="00237A6C">
              <w:rPr>
                <w:noProof/>
                <w:webHidden/>
                <w:sz w:val="21"/>
                <w:szCs w:val="21"/>
              </w:rPr>
              <w:t>16</w:t>
            </w:r>
            <w:r w:rsidRPr="00237A6C">
              <w:rPr>
                <w:noProof/>
                <w:webHidden/>
                <w:sz w:val="21"/>
                <w:szCs w:val="21"/>
              </w:rPr>
              <w:fldChar w:fldCharType="end"/>
            </w:r>
          </w:hyperlink>
        </w:p>
        <w:p w:rsidR="00A44BD3" w:rsidRPr="00A44BD3" w:rsidRDefault="00B53562" w:rsidP="00524E09">
          <w:pPr>
            <w:pStyle w:val="10"/>
            <w:adjustRightInd w:val="0"/>
            <w:snapToGrid w:val="0"/>
            <w:spacing w:before="0" w:line="288" w:lineRule="auto"/>
            <w:rPr>
              <w:rFonts w:cstheme="minorBidi"/>
              <w:noProof/>
              <w:sz w:val="21"/>
              <w:szCs w:val="22"/>
            </w:rPr>
          </w:pPr>
          <w:hyperlink w:anchor="_Toc113284444" w:history="1">
            <w:r w:rsidR="00A44BD3" w:rsidRPr="00A44BD3">
              <w:rPr>
                <w:rStyle w:val="a8"/>
                <w:noProof/>
              </w:rPr>
              <w:t>第</w:t>
            </w:r>
            <w:r w:rsidR="00A44BD3" w:rsidRPr="00A44BD3">
              <w:rPr>
                <w:rStyle w:val="a8"/>
                <w:bCs/>
                <w:noProof/>
                <w:kern w:val="44"/>
              </w:rPr>
              <w:t>四部分 附件</w:t>
            </w:r>
            <w:r w:rsidR="00A44BD3" w:rsidRPr="00A44BD3">
              <w:rPr>
                <w:noProof/>
                <w:webHidden/>
              </w:rPr>
              <w:tab/>
            </w:r>
            <w:r w:rsidRPr="00237A6C">
              <w:rPr>
                <w:noProof/>
                <w:webHidden/>
                <w:sz w:val="21"/>
                <w:szCs w:val="21"/>
              </w:rPr>
              <w:fldChar w:fldCharType="begin"/>
            </w:r>
            <w:r w:rsidR="00A44BD3" w:rsidRPr="00237A6C">
              <w:rPr>
                <w:noProof/>
                <w:webHidden/>
                <w:sz w:val="21"/>
                <w:szCs w:val="21"/>
              </w:rPr>
              <w:instrText xml:space="preserve"> PAGEREF _Toc113284444 \h </w:instrText>
            </w:r>
            <w:r w:rsidRPr="00237A6C">
              <w:rPr>
                <w:noProof/>
                <w:webHidden/>
                <w:sz w:val="21"/>
                <w:szCs w:val="21"/>
              </w:rPr>
            </w:r>
            <w:r w:rsidRPr="00237A6C">
              <w:rPr>
                <w:noProof/>
                <w:webHidden/>
                <w:sz w:val="21"/>
                <w:szCs w:val="21"/>
              </w:rPr>
              <w:fldChar w:fldCharType="separate"/>
            </w:r>
            <w:r w:rsidR="00A44BD3" w:rsidRPr="00237A6C">
              <w:rPr>
                <w:noProof/>
                <w:webHidden/>
                <w:sz w:val="21"/>
                <w:szCs w:val="21"/>
              </w:rPr>
              <w:t>19</w:t>
            </w:r>
            <w:r w:rsidRPr="00237A6C">
              <w:rPr>
                <w:noProof/>
                <w:webHidden/>
                <w:sz w:val="21"/>
                <w:szCs w:val="21"/>
              </w:rPr>
              <w:fldChar w:fldCharType="end"/>
            </w:r>
          </w:hyperlink>
        </w:p>
        <w:p w:rsidR="00A44BD3" w:rsidRPr="00A44BD3" w:rsidRDefault="00B53562" w:rsidP="00524E09">
          <w:pPr>
            <w:pStyle w:val="10"/>
            <w:adjustRightInd w:val="0"/>
            <w:snapToGrid w:val="0"/>
            <w:spacing w:before="0" w:line="288" w:lineRule="auto"/>
            <w:rPr>
              <w:rFonts w:cstheme="minorBidi"/>
              <w:noProof/>
              <w:sz w:val="21"/>
              <w:szCs w:val="22"/>
            </w:rPr>
          </w:pPr>
          <w:hyperlink w:anchor="_Toc113284445" w:history="1">
            <w:r w:rsidR="00A44BD3" w:rsidRPr="00A44BD3">
              <w:rPr>
                <w:rStyle w:val="a8"/>
                <w:noProof/>
              </w:rPr>
              <w:t>第</w:t>
            </w:r>
            <w:r w:rsidR="00A44BD3" w:rsidRPr="00A44BD3">
              <w:rPr>
                <w:rStyle w:val="a8"/>
                <w:bCs/>
                <w:noProof/>
                <w:kern w:val="44"/>
              </w:rPr>
              <w:t>五部分 附表</w:t>
            </w:r>
            <w:r w:rsidR="00A44BD3" w:rsidRPr="00A44BD3">
              <w:rPr>
                <w:noProof/>
                <w:webHidden/>
              </w:rPr>
              <w:tab/>
            </w:r>
            <w:r w:rsidRPr="00237A6C">
              <w:rPr>
                <w:noProof/>
                <w:webHidden/>
                <w:sz w:val="21"/>
                <w:szCs w:val="21"/>
              </w:rPr>
              <w:fldChar w:fldCharType="begin"/>
            </w:r>
            <w:r w:rsidR="00A44BD3" w:rsidRPr="00237A6C">
              <w:rPr>
                <w:noProof/>
                <w:webHidden/>
                <w:sz w:val="21"/>
                <w:szCs w:val="21"/>
              </w:rPr>
              <w:instrText xml:space="preserve"> PAGEREF _Toc113284445 \h </w:instrText>
            </w:r>
            <w:r w:rsidRPr="00237A6C">
              <w:rPr>
                <w:noProof/>
                <w:webHidden/>
                <w:sz w:val="21"/>
                <w:szCs w:val="21"/>
              </w:rPr>
            </w:r>
            <w:r w:rsidRPr="00237A6C">
              <w:rPr>
                <w:noProof/>
                <w:webHidden/>
                <w:sz w:val="21"/>
                <w:szCs w:val="21"/>
              </w:rPr>
              <w:fldChar w:fldCharType="separate"/>
            </w:r>
            <w:r w:rsidR="00A44BD3" w:rsidRPr="00237A6C">
              <w:rPr>
                <w:noProof/>
                <w:webHidden/>
                <w:sz w:val="21"/>
                <w:szCs w:val="21"/>
              </w:rPr>
              <w:t>20</w:t>
            </w:r>
            <w:r w:rsidRPr="00237A6C">
              <w:rPr>
                <w:noProof/>
                <w:webHidden/>
                <w:sz w:val="21"/>
                <w:szCs w:val="21"/>
              </w:rPr>
              <w:fldChar w:fldCharType="end"/>
            </w:r>
          </w:hyperlink>
        </w:p>
        <w:p w:rsidR="00A44BD3" w:rsidRPr="00A44BD3" w:rsidRDefault="00B53562" w:rsidP="00524E09">
          <w:pPr>
            <w:pStyle w:val="20"/>
            <w:adjustRightInd w:val="0"/>
            <w:snapToGrid w:val="0"/>
            <w:spacing w:line="288" w:lineRule="auto"/>
            <w:rPr>
              <w:rFonts w:ascii="仿宋" w:eastAsia="仿宋" w:hAnsi="仿宋" w:cstheme="minorBidi"/>
              <w:noProof/>
              <w:szCs w:val="22"/>
            </w:rPr>
          </w:pPr>
          <w:hyperlink w:anchor="_Toc113284446" w:history="1">
            <w:r w:rsidR="00A44BD3" w:rsidRPr="00A44BD3">
              <w:rPr>
                <w:rStyle w:val="a8"/>
                <w:rFonts w:ascii="仿宋" w:eastAsia="仿宋" w:hAnsi="仿宋" w:cs="仿宋_GB2312"/>
                <w:noProof/>
              </w:rPr>
              <w:t>一、收入支出决算总表</w:t>
            </w:r>
            <w:r w:rsidR="00A44BD3" w:rsidRPr="00A44BD3">
              <w:rPr>
                <w:rFonts w:ascii="仿宋" w:eastAsia="仿宋" w:hAnsi="仿宋"/>
                <w:noProof/>
                <w:webHidden/>
              </w:rPr>
              <w:tab/>
            </w:r>
            <w:r w:rsidRPr="00A44BD3">
              <w:rPr>
                <w:rFonts w:ascii="仿宋" w:eastAsia="仿宋" w:hAnsi="仿宋"/>
                <w:noProof/>
                <w:webHidden/>
              </w:rPr>
              <w:fldChar w:fldCharType="begin"/>
            </w:r>
            <w:r w:rsidR="00A44BD3" w:rsidRPr="00A44BD3">
              <w:rPr>
                <w:rFonts w:ascii="仿宋" w:eastAsia="仿宋" w:hAnsi="仿宋"/>
                <w:noProof/>
                <w:webHidden/>
              </w:rPr>
              <w:instrText xml:space="preserve"> PAGEREF _Toc113284446 \h </w:instrText>
            </w:r>
            <w:r w:rsidRPr="00A44BD3">
              <w:rPr>
                <w:rFonts w:ascii="仿宋" w:eastAsia="仿宋" w:hAnsi="仿宋"/>
                <w:noProof/>
                <w:webHidden/>
              </w:rPr>
            </w:r>
            <w:r w:rsidRPr="00A44BD3">
              <w:rPr>
                <w:rFonts w:ascii="仿宋" w:eastAsia="仿宋" w:hAnsi="仿宋"/>
                <w:noProof/>
                <w:webHidden/>
              </w:rPr>
              <w:fldChar w:fldCharType="separate"/>
            </w:r>
            <w:r w:rsidR="00A44BD3" w:rsidRPr="00A44BD3">
              <w:rPr>
                <w:rFonts w:ascii="仿宋" w:eastAsia="仿宋" w:hAnsi="仿宋"/>
                <w:noProof/>
                <w:webHidden/>
              </w:rPr>
              <w:t>20</w:t>
            </w:r>
            <w:r w:rsidRPr="00A44BD3">
              <w:rPr>
                <w:rFonts w:ascii="仿宋" w:eastAsia="仿宋" w:hAnsi="仿宋"/>
                <w:noProof/>
                <w:webHidden/>
              </w:rPr>
              <w:fldChar w:fldCharType="end"/>
            </w:r>
          </w:hyperlink>
        </w:p>
        <w:p w:rsidR="00A44BD3" w:rsidRPr="00A44BD3" w:rsidRDefault="00B53562" w:rsidP="00524E09">
          <w:pPr>
            <w:pStyle w:val="20"/>
            <w:adjustRightInd w:val="0"/>
            <w:snapToGrid w:val="0"/>
            <w:spacing w:line="288" w:lineRule="auto"/>
            <w:rPr>
              <w:rFonts w:ascii="仿宋" w:eastAsia="仿宋" w:hAnsi="仿宋" w:cstheme="minorBidi"/>
              <w:noProof/>
              <w:szCs w:val="22"/>
            </w:rPr>
          </w:pPr>
          <w:hyperlink w:anchor="_Toc113284447" w:history="1">
            <w:r w:rsidR="00A44BD3" w:rsidRPr="00A44BD3">
              <w:rPr>
                <w:rStyle w:val="a8"/>
                <w:rFonts w:ascii="仿宋" w:eastAsia="仿宋" w:hAnsi="仿宋" w:cs="仿宋_GB2312"/>
                <w:noProof/>
              </w:rPr>
              <w:t>二、收入决算表</w:t>
            </w:r>
            <w:r w:rsidR="00A44BD3" w:rsidRPr="00A44BD3">
              <w:rPr>
                <w:rFonts w:ascii="仿宋" w:eastAsia="仿宋" w:hAnsi="仿宋"/>
                <w:noProof/>
                <w:webHidden/>
              </w:rPr>
              <w:tab/>
            </w:r>
            <w:r w:rsidRPr="00A44BD3">
              <w:rPr>
                <w:rFonts w:ascii="仿宋" w:eastAsia="仿宋" w:hAnsi="仿宋"/>
                <w:noProof/>
                <w:webHidden/>
              </w:rPr>
              <w:fldChar w:fldCharType="begin"/>
            </w:r>
            <w:r w:rsidR="00A44BD3" w:rsidRPr="00A44BD3">
              <w:rPr>
                <w:rFonts w:ascii="仿宋" w:eastAsia="仿宋" w:hAnsi="仿宋"/>
                <w:noProof/>
                <w:webHidden/>
              </w:rPr>
              <w:instrText xml:space="preserve"> PAGEREF _Toc113284447 \h </w:instrText>
            </w:r>
            <w:r w:rsidRPr="00A44BD3">
              <w:rPr>
                <w:rFonts w:ascii="仿宋" w:eastAsia="仿宋" w:hAnsi="仿宋"/>
                <w:noProof/>
                <w:webHidden/>
              </w:rPr>
            </w:r>
            <w:r w:rsidRPr="00A44BD3">
              <w:rPr>
                <w:rFonts w:ascii="仿宋" w:eastAsia="仿宋" w:hAnsi="仿宋"/>
                <w:noProof/>
                <w:webHidden/>
              </w:rPr>
              <w:fldChar w:fldCharType="separate"/>
            </w:r>
            <w:r w:rsidR="00A44BD3" w:rsidRPr="00A44BD3">
              <w:rPr>
                <w:rFonts w:ascii="仿宋" w:eastAsia="仿宋" w:hAnsi="仿宋"/>
                <w:noProof/>
                <w:webHidden/>
              </w:rPr>
              <w:t>20</w:t>
            </w:r>
            <w:r w:rsidRPr="00A44BD3">
              <w:rPr>
                <w:rFonts w:ascii="仿宋" w:eastAsia="仿宋" w:hAnsi="仿宋"/>
                <w:noProof/>
                <w:webHidden/>
              </w:rPr>
              <w:fldChar w:fldCharType="end"/>
            </w:r>
          </w:hyperlink>
        </w:p>
        <w:p w:rsidR="00A44BD3" w:rsidRPr="00A44BD3" w:rsidRDefault="00B53562" w:rsidP="00524E09">
          <w:pPr>
            <w:pStyle w:val="20"/>
            <w:adjustRightInd w:val="0"/>
            <w:snapToGrid w:val="0"/>
            <w:spacing w:line="288" w:lineRule="auto"/>
            <w:rPr>
              <w:rFonts w:ascii="仿宋" w:eastAsia="仿宋" w:hAnsi="仿宋" w:cstheme="minorBidi"/>
              <w:noProof/>
              <w:szCs w:val="22"/>
            </w:rPr>
          </w:pPr>
          <w:hyperlink w:anchor="_Toc113284448" w:history="1">
            <w:r w:rsidR="00A44BD3" w:rsidRPr="00A44BD3">
              <w:rPr>
                <w:rStyle w:val="a8"/>
                <w:rFonts w:ascii="仿宋" w:eastAsia="仿宋" w:hAnsi="仿宋" w:cs="仿宋_GB2312"/>
                <w:noProof/>
              </w:rPr>
              <w:t>三、支出决算表</w:t>
            </w:r>
            <w:r w:rsidR="00A44BD3" w:rsidRPr="00A44BD3">
              <w:rPr>
                <w:rFonts w:ascii="仿宋" w:eastAsia="仿宋" w:hAnsi="仿宋"/>
                <w:noProof/>
                <w:webHidden/>
              </w:rPr>
              <w:tab/>
            </w:r>
            <w:r w:rsidRPr="00A44BD3">
              <w:rPr>
                <w:rFonts w:ascii="仿宋" w:eastAsia="仿宋" w:hAnsi="仿宋"/>
                <w:noProof/>
                <w:webHidden/>
              </w:rPr>
              <w:fldChar w:fldCharType="begin"/>
            </w:r>
            <w:r w:rsidR="00A44BD3" w:rsidRPr="00A44BD3">
              <w:rPr>
                <w:rFonts w:ascii="仿宋" w:eastAsia="仿宋" w:hAnsi="仿宋"/>
                <w:noProof/>
                <w:webHidden/>
              </w:rPr>
              <w:instrText xml:space="preserve"> PAGEREF _Toc113284448 \h </w:instrText>
            </w:r>
            <w:r w:rsidRPr="00A44BD3">
              <w:rPr>
                <w:rFonts w:ascii="仿宋" w:eastAsia="仿宋" w:hAnsi="仿宋"/>
                <w:noProof/>
                <w:webHidden/>
              </w:rPr>
            </w:r>
            <w:r w:rsidRPr="00A44BD3">
              <w:rPr>
                <w:rFonts w:ascii="仿宋" w:eastAsia="仿宋" w:hAnsi="仿宋"/>
                <w:noProof/>
                <w:webHidden/>
              </w:rPr>
              <w:fldChar w:fldCharType="separate"/>
            </w:r>
            <w:r w:rsidR="00A44BD3" w:rsidRPr="00A44BD3">
              <w:rPr>
                <w:rFonts w:ascii="仿宋" w:eastAsia="仿宋" w:hAnsi="仿宋"/>
                <w:noProof/>
                <w:webHidden/>
              </w:rPr>
              <w:t>20</w:t>
            </w:r>
            <w:r w:rsidRPr="00A44BD3">
              <w:rPr>
                <w:rFonts w:ascii="仿宋" w:eastAsia="仿宋" w:hAnsi="仿宋"/>
                <w:noProof/>
                <w:webHidden/>
              </w:rPr>
              <w:fldChar w:fldCharType="end"/>
            </w:r>
          </w:hyperlink>
        </w:p>
        <w:p w:rsidR="00A44BD3" w:rsidRPr="00A44BD3" w:rsidRDefault="00B53562" w:rsidP="00524E09">
          <w:pPr>
            <w:pStyle w:val="20"/>
            <w:adjustRightInd w:val="0"/>
            <w:snapToGrid w:val="0"/>
            <w:spacing w:line="288" w:lineRule="auto"/>
            <w:rPr>
              <w:rFonts w:ascii="仿宋" w:eastAsia="仿宋" w:hAnsi="仿宋" w:cstheme="minorBidi"/>
              <w:noProof/>
              <w:szCs w:val="22"/>
            </w:rPr>
          </w:pPr>
          <w:hyperlink w:anchor="_Toc113284449" w:history="1">
            <w:r w:rsidR="00A44BD3" w:rsidRPr="00A44BD3">
              <w:rPr>
                <w:rStyle w:val="a8"/>
                <w:rFonts w:ascii="仿宋" w:eastAsia="仿宋" w:hAnsi="仿宋" w:cs="仿宋_GB2312"/>
                <w:noProof/>
              </w:rPr>
              <w:t>四、财政拨款收入支出决算总表</w:t>
            </w:r>
            <w:r w:rsidR="00A44BD3" w:rsidRPr="00A44BD3">
              <w:rPr>
                <w:rFonts w:ascii="仿宋" w:eastAsia="仿宋" w:hAnsi="仿宋"/>
                <w:noProof/>
                <w:webHidden/>
              </w:rPr>
              <w:tab/>
            </w:r>
            <w:r w:rsidRPr="00A44BD3">
              <w:rPr>
                <w:rFonts w:ascii="仿宋" w:eastAsia="仿宋" w:hAnsi="仿宋"/>
                <w:noProof/>
                <w:webHidden/>
              </w:rPr>
              <w:fldChar w:fldCharType="begin"/>
            </w:r>
            <w:r w:rsidR="00A44BD3" w:rsidRPr="00A44BD3">
              <w:rPr>
                <w:rFonts w:ascii="仿宋" w:eastAsia="仿宋" w:hAnsi="仿宋"/>
                <w:noProof/>
                <w:webHidden/>
              </w:rPr>
              <w:instrText xml:space="preserve"> PAGEREF _Toc113284449 \h </w:instrText>
            </w:r>
            <w:r w:rsidRPr="00A44BD3">
              <w:rPr>
                <w:rFonts w:ascii="仿宋" w:eastAsia="仿宋" w:hAnsi="仿宋"/>
                <w:noProof/>
                <w:webHidden/>
              </w:rPr>
            </w:r>
            <w:r w:rsidRPr="00A44BD3">
              <w:rPr>
                <w:rFonts w:ascii="仿宋" w:eastAsia="仿宋" w:hAnsi="仿宋"/>
                <w:noProof/>
                <w:webHidden/>
              </w:rPr>
              <w:fldChar w:fldCharType="separate"/>
            </w:r>
            <w:r w:rsidR="00A44BD3" w:rsidRPr="00A44BD3">
              <w:rPr>
                <w:rFonts w:ascii="仿宋" w:eastAsia="仿宋" w:hAnsi="仿宋"/>
                <w:noProof/>
                <w:webHidden/>
              </w:rPr>
              <w:t>20</w:t>
            </w:r>
            <w:r w:rsidRPr="00A44BD3">
              <w:rPr>
                <w:rFonts w:ascii="仿宋" w:eastAsia="仿宋" w:hAnsi="仿宋"/>
                <w:noProof/>
                <w:webHidden/>
              </w:rPr>
              <w:fldChar w:fldCharType="end"/>
            </w:r>
          </w:hyperlink>
        </w:p>
        <w:p w:rsidR="00A44BD3" w:rsidRPr="00A44BD3" w:rsidRDefault="00B53562" w:rsidP="00524E09">
          <w:pPr>
            <w:pStyle w:val="20"/>
            <w:adjustRightInd w:val="0"/>
            <w:snapToGrid w:val="0"/>
            <w:spacing w:line="288" w:lineRule="auto"/>
            <w:rPr>
              <w:rFonts w:ascii="仿宋" w:eastAsia="仿宋" w:hAnsi="仿宋" w:cstheme="minorBidi"/>
              <w:noProof/>
              <w:szCs w:val="22"/>
            </w:rPr>
          </w:pPr>
          <w:hyperlink w:anchor="_Toc113284450" w:history="1">
            <w:r w:rsidR="00A44BD3" w:rsidRPr="00A44BD3">
              <w:rPr>
                <w:rStyle w:val="a8"/>
                <w:rFonts w:ascii="仿宋" w:eastAsia="仿宋" w:hAnsi="仿宋" w:cs="仿宋_GB2312"/>
                <w:noProof/>
              </w:rPr>
              <w:t>五、财政拨款支出决算明细表</w:t>
            </w:r>
            <w:r w:rsidR="00A44BD3" w:rsidRPr="00A44BD3">
              <w:rPr>
                <w:rFonts w:ascii="仿宋" w:eastAsia="仿宋" w:hAnsi="仿宋"/>
                <w:noProof/>
                <w:webHidden/>
              </w:rPr>
              <w:tab/>
            </w:r>
            <w:r w:rsidRPr="00A44BD3">
              <w:rPr>
                <w:rFonts w:ascii="仿宋" w:eastAsia="仿宋" w:hAnsi="仿宋"/>
                <w:noProof/>
                <w:webHidden/>
              </w:rPr>
              <w:fldChar w:fldCharType="begin"/>
            </w:r>
            <w:r w:rsidR="00A44BD3" w:rsidRPr="00A44BD3">
              <w:rPr>
                <w:rFonts w:ascii="仿宋" w:eastAsia="仿宋" w:hAnsi="仿宋"/>
                <w:noProof/>
                <w:webHidden/>
              </w:rPr>
              <w:instrText xml:space="preserve"> PAGEREF _Toc113284450 \h </w:instrText>
            </w:r>
            <w:r w:rsidRPr="00A44BD3">
              <w:rPr>
                <w:rFonts w:ascii="仿宋" w:eastAsia="仿宋" w:hAnsi="仿宋"/>
                <w:noProof/>
                <w:webHidden/>
              </w:rPr>
            </w:r>
            <w:r w:rsidRPr="00A44BD3">
              <w:rPr>
                <w:rFonts w:ascii="仿宋" w:eastAsia="仿宋" w:hAnsi="仿宋"/>
                <w:noProof/>
                <w:webHidden/>
              </w:rPr>
              <w:fldChar w:fldCharType="separate"/>
            </w:r>
            <w:r w:rsidR="00A44BD3" w:rsidRPr="00A44BD3">
              <w:rPr>
                <w:rFonts w:ascii="仿宋" w:eastAsia="仿宋" w:hAnsi="仿宋"/>
                <w:noProof/>
                <w:webHidden/>
              </w:rPr>
              <w:t>20</w:t>
            </w:r>
            <w:r w:rsidRPr="00A44BD3">
              <w:rPr>
                <w:rFonts w:ascii="仿宋" w:eastAsia="仿宋" w:hAnsi="仿宋"/>
                <w:noProof/>
                <w:webHidden/>
              </w:rPr>
              <w:fldChar w:fldCharType="end"/>
            </w:r>
          </w:hyperlink>
        </w:p>
        <w:p w:rsidR="00A44BD3" w:rsidRPr="00A44BD3" w:rsidRDefault="00B53562" w:rsidP="00524E09">
          <w:pPr>
            <w:pStyle w:val="20"/>
            <w:adjustRightInd w:val="0"/>
            <w:snapToGrid w:val="0"/>
            <w:spacing w:line="288" w:lineRule="auto"/>
            <w:rPr>
              <w:rFonts w:ascii="仿宋" w:eastAsia="仿宋" w:hAnsi="仿宋" w:cstheme="minorBidi"/>
              <w:noProof/>
              <w:szCs w:val="22"/>
            </w:rPr>
          </w:pPr>
          <w:hyperlink w:anchor="_Toc113284451" w:history="1">
            <w:r w:rsidR="00A44BD3" w:rsidRPr="00A44BD3">
              <w:rPr>
                <w:rStyle w:val="a8"/>
                <w:rFonts w:ascii="仿宋" w:eastAsia="仿宋" w:hAnsi="仿宋" w:cs="仿宋_GB2312"/>
                <w:noProof/>
              </w:rPr>
              <w:t>六、一般公共预算财政拨款支出决算表</w:t>
            </w:r>
            <w:r w:rsidR="00A44BD3" w:rsidRPr="00A44BD3">
              <w:rPr>
                <w:rFonts w:ascii="仿宋" w:eastAsia="仿宋" w:hAnsi="仿宋"/>
                <w:noProof/>
                <w:webHidden/>
              </w:rPr>
              <w:tab/>
            </w:r>
            <w:r w:rsidRPr="00A44BD3">
              <w:rPr>
                <w:rFonts w:ascii="仿宋" w:eastAsia="仿宋" w:hAnsi="仿宋"/>
                <w:noProof/>
                <w:webHidden/>
              </w:rPr>
              <w:fldChar w:fldCharType="begin"/>
            </w:r>
            <w:r w:rsidR="00A44BD3" w:rsidRPr="00A44BD3">
              <w:rPr>
                <w:rFonts w:ascii="仿宋" w:eastAsia="仿宋" w:hAnsi="仿宋"/>
                <w:noProof/>
                <w:webHidden/>
              </w:rPr>
              <w:instrText xml:space="preserve"> PAGEREF _Toc113284451 \h </w:instrText>
            </w:r>
            <w:r w:rsidRPr="00A44BD3">
              <w:rPr>
                <w:rFonts w:ascii="仿宋" w:eastAsia="仿宋" w:hAnsi="仿宋"/>
                <w:noProof/>
                <w:webHidden/>
              </w:rPr>
            </w:r>
            <w:r w:rsidRPr="00A44BD3">
              <w:rPr>
                <w:rFonts w:ascii="仿宋" w:eastAsia="仿宋" w:hAnsi="仿宋"/>
                <w:noProof/>
                <w:webHidden/>
              </w:rPr>
              <w:fldChar w:fldCharType="separate"/>
            </w:r>
            <w:r w:rsidR="00A44BD3" w:rsidRPr="00A44BD3">
              <w:rPr>
                <w:rFonts w:ascii="仿宋" w:eastAsia="仿宋" w:hAnsi="仿宋"/>
                <w:noProof/>
                <w:webHidden/>
              </w:rPr>
              <w:t>20</w:t>
            </w:r>
            <w:r w:rsidRPr="00A44BD3">
              <w:rPr>
                <w:rFonts w:ascii="仿宋" w:eastAsia="仿宋" w:hAnsi="仿宋"/>
                <w:noProof/>
                <w:webHidden/>
              </w:rPr>
              <w:fldChar w:fldCharType="end"/>
            </w:r>
          </w:hyperlink>
        </w:p>
        <w:p w:rsidR="00A44BD3" w:rsidRPr="00A44BD3" w:rsidRDefault="00B53562" w:rsidP="00524E09">
          <w:pPr>
            <w:pStyle w:val="20"/>
            <w:adjustRightInd w:val="0"/>
            <w:snapToGrid w:val="0"/>
            <w:spacing w:line="288" w:lineRule="auto"/>
            <w:rPr>
              <w:rFonts w:ascii="仿宋" w:eastAsia="仿宋" w:hAnsi="仿宋" w:cstheme="minorBidi"/>
              <w:noProof/>
              <w:szCs w:val="22"/>
            </w:rPr>
          </w:pPr>
          <w:hyperlink w:anchor="_Toc113284452" w:history="1">
            <w:r w:rsidR="00A44BD3" w:rsidRPr="00A44BD3">
              <w:rPr>
                <w:rStyle w:val="a8"/>
                <w:rFonts w:ascii="仿宋" w:eastAsia="仿宋" w:hAnsi="仿宋" w:cs="仿宋_GB2312"/>
                <w:noProof/>
              </w:rPr>
              <w:t>七、一般公共预算财政拨款支出决算明细表</w:t>
            </w:r>
            <w:r w:rsidR="00A44BD3" w:rsidRPr="00A44BD3">
              <w:rPr>
                <w:rFonts w:ascii="仿宋" w:eastAsia="仿宋" w:hAnsi="仿宋"/>
                <w:noProof/>
                <w:webHidden/>
              </w:rPr>
              <w:tab/>
            </w:r>
            <w:r w:rsidRPr="00A44BD3">
              <w:rPr>
                <w:rFonts w:ascii="仿宋" w:eastAsia="仿宋" w:hAnsi="仿宋"/>
                <w:noProof/>
                <w:webHidden/>
              </w:rPr>
              <w:fldChar w:fldCharType="begin"/>
            </w:r>
            <w:r w:rsidR="00A44BD3" w:rsidRPr="00A44BD3">
              <w:rPr>
                <w:rFonts w:ascii="仿宋" w:eastAsia="仿宋" w:hAnsi="仿宋"/>
                <w:noProof/>
                <w:webHidden/>
              </w:rPr>
              <w:instrText xml:space="preserve"> PAGEREF _Toc113284452 \h </w:instrText>
            </w:r>
            <w:r w:rsidRPr="00A44BD3">
              <w:rPr>
                <w:rFonts w:ascii="仿宋" w:eastAsia="仿宋" w:hAnsi="仿宋"/>
                <w:noProof/>
                <w:webHidden/>
              </w:rPr>
            </w:r>
            <w:r w:rsidRPr="00A44BD3">
              <w:rPr>
                <w:rFonts w:ascii="仿宋" w:eastAsia="仿宋" w:hAnsi="仿宋"/>
                <w:noProof/>
                <w:webHidden/>
              </w:rPr>
              <w:fldChar w:fldCharType="separate"/>
            </w:r>
            <w:r w:rsidR="00A44BD3" w:rsidRPr="00A44BD3">
              <w:rPr>
                <w:rFonts w:ascii="仿宋" w:eastAsia="仿宋" w:hAnsi="仿宋"/>
                <w:noProof/>
                <w:webHidden/>
              </w:rPr>
              <w:t>20</w:t>
            </w:r>
            <w:r w:rsidRPr="00A44BD3">
              <w:rPr>
                <w:rFonts w:ascii="仿宋" w:eastAsia="仿宋" w:hAnsi="仿宋"/>
                <w:noProof/>
                <w:webHidden/>
              </w:rPr>
              <w:fldChar w:fldCharType="end"/>
            </w:r>
          </w:hyperlink>
        </w:p>
        <w:p w:rsidR="00A44BD3" w:rsidRPr="00A44BD3" w:rsidRDefault="00B53562" w:rsidP="00524E09">
          <w:pPr>
            <w:pStyle w:val="20"/>
            <w:adjustRightInd w:val="0"/>
            <w:snapToGrid w:val="0"/>
            <w:spacing w:line="288" w:lineRule="auto"/>
            <w:rPr>
              <w:rFonts w:ascii="仿宋" w:eastAsia="仿宋" w:hAnsi="仿宋" w:cstheme="minorBidi"/>
              <w:noProof/>
              <w:szCs w:val="22"/>
            </w:rPr>
          </w:pPr>
          <w:hyperlink w:anchor="_Toc113284453" w:history="1">
            <w:r w:rsidR="00A44BD3" w:rsidRPr="00A44BD3">
              <w:rPr>
                <w:rStyle w:val="a8"/>
                <w:rFonts w:ascii="仿宋" w:eastAsia="仿宋" w:hAnsi="仿宋" w:cs="仿宋_GB2312"/>
                <w:noProof/>
              </w:rPr>
              <w:t>八、一般公共预算财政拨款基本支出决算表</w:t>
            </w:r>
            <w:r w:rsidR="00A44BD3" w:rsidRPr="00A44BD3">
              <w:rPr>
                <w:rFonts w:ascii="仿宋" w:eastAsia="仿宋" w:hAnsi="仿宋"/>
                <w:noProof/>
                <w:webHidden/>
              </w:rPr>
              <w:tab/>
            </w:r>
            <w:r w:rsidRPr="00A44BD3">
              <w:rPr>
                <w:rFonts w:ascii="仿宋" w:eastAsia="仿宋" w:hAnsi="仿宋"/>
                <w:noProof/>
                <w:webHidden/>
              </w:rPr>
              <w:fldChar w:fldCharType="begin"/>
            </w:r>
            <w:r w:rsidR="00A44BD3" w:rsidRPr="00A44BD3">
              <w:rPr>
                <w:rFonts w:ascii="仿宋" w:eastAsia="仿宋" w:hAnsi="仿宋"/>
                <w:noProof/>
                <w:webHidden/>
              </w:rPr>
              <w:instrText xml:space="preserve"> PAGEREF _Toc113284453 \h </w:instrText>
            </w:r>
            <w:r w:rsidRPr="00A44BD3">
              <w:rPr>
                <w:rFonts w:ascii="仿宋" w:eastAsia="仿宋" w:hAnsi="仿宋"/>
                <w:noProof/>
                <w:webHidden/>
              </w:rPr>
            </w:r>
            <w:r w:rsidRPr="00A44BD3">
              <w:rPr>
                <w:rFonts w:ascii="仿宋" w:eastAsia="仿宋" w:hAnsi="仿宋"/>
                <w:noProof/>
                <w:webHidden/>
              </w:rPr>
              <w:fldChar w:fldCharType="separate"/>
            </w:r>
            <w:r w:rsidR="00A44BD3" w:rsidRPr="00A44BD3">
              <w:rPr>
                <w:rFonts w:ascii="仿宋" w:eastAsia="仿宋" w:hAnsi="仿宋"/>
                <w:noProof/>
                <w:webHidden/>
              </w:rPr>
              <w:t>20</w:t>
            </w:r>
            <w:r w:rsidRPr="00A44BD3">
              <w:rPr>
                <w:rFonts w:ascii="仿宋" w:eastAsia="仿宋" w:hAnsi="仿宋"/>
                <w:noProof/>
                <w:webHidden/>
              </w:rPr>
              <w:fldChar w:fldCharType="end"/>
            </w:r>
          </w:hyperlink>
        </w:p>
        <w:p w:rsidR="00A44BD3" w:rsidRPr="00A44BD3" w:rsidRDefault="00B53562" w:rsidP="00524E09">
          <w:pPr>
            <w:pStyle w:val="20"/>
            <w:adjustRightInd w:val="0"/>
            <w:snapToGrid w:val="0"/>
            <w:spacing w:line="288" w:lineRule="auto"/>
            <w:rPr>
              <w:rFonts w:ascii="仿宋" w:eastAsia="仿宋" w:hAnsi="仿宋" w:cstheme="minorBidi"/>
              <w:noProof/>
              <w:szCs w:val="22"/>
            </w:rPr>
          </w:pPr>
          <w:hyperlink w:anchor="_Toc113284454" w:history="1">
            <w:r w:rsidR="00A44BD3" w:rsidRPr="00A44BD3">
              <w:rPr>
                <w:rStyle w:val="a8"/>
                <w:rFonts w:ascii="仿宋" w:eastAsia="仿宋" w:hAnsi="仿宋" w:cs="仿宋_GB2312"/>
                <w:noProof/>
              </w:rPr>
              <w:t>九、一般公共预算财政拨款项目支出决算表</w:t>
            </w:r>
            <w:r w:rsidR="00A44BD3" w:rsidRPr="00A44BD3">
              <w:rPr>
                <w:rFonts w:ascii="仿宋" w:eastAsia="仿宋" w:hAnsi="仿宋"/>
                <w:noProof/>
                <w:webHidden/>
              </w:rPr>
              <w:tab/>
            </w:r>
            <w:r w:rsidRPr="00A44BD3">
              <w:rPr>
                <w:rFonts w:ascii="仿宋" w:eastAsia="仿宋" w:hAnsi="仿宋"/>
                <w:noProof/>
                <w:webHidden/>
              </w:rPr>
              <w:fldChar w:fldCharType="begin"/>
            </w:r>
            <w:r w:rsidR="00A44BD3" w:rsidRPr="00A44BD3">
              <w:rPr>
                <w:rFonts w:ascii="仿宋" w:eastAsia="仿宋" w:hAnsi="仿宋"/>
                <w:noProof/>
                <w:webHidden/>
              </w:rPr>
              <w:instrText xml:space="preserve"> PAGEREF _Toc113284454 \h </w:instrText>
            </w:r>
            <w:r w:rsidRPr="00A44BD3">
              <w:rPr>
                <w:rFonts w:ascii="仿宋" w:eastAsia="仿宋" w:hAnsi="仿宋"/>
                <w:noProof/>
                <w:webHidden/>
              </w:rPr>
            </w:r>
            <w:r w:rsidRPr="00A44BD3">
              <w:rPr>
                <w:rFonts w:ascii="仿宋" w:eastAsia="仿宋" w:hAnsi="仿宋"/>
                <w:noProof/>
                <w:webHidden/>
              </w:rPr>
              <w:fldChar w:fldCharType="separate"/>
            </w:r>
            <w:r w:rsidR="00A44BD3" w:rsidRPr="00A44BD3">
              <w:rPr>
                <w:rFonts w:ascii="仿宋" w:eastAsia="仿宋" w:hAnsi="仿宋"/>
                <w:noProof/>
                <w:webHidden/>
              </w:rPr>
              <w:t>20</w:t>
            </w:r>
            <w:r w:rsidRPr="00A44BD3">
              <w:rPr>
                <w:rFonts w:ascii="仿宋" w:eastAsia="仿宋" w:hAnsi="仿宋"/>
                <w:noProof/>
                <w:webHidden/>
              </w:rPr>
              <w:fldChar w:fldCharType="end"/>
            </w:r>
          </w:hyperlink>
        </w:p>
        <w:p w:rsidR="00A44BD3" w:rsidRPr="00A44BD3" w:rsidRDefault="00B53562" w:rsidP="00524E09">
          <w:pPr>
            <w:pStyle w:val="20"/>
            <w:adjustRightInd w:val="0"/>
            <w:snapToGrid w:val="0"/>
            <w:spacing w:line="288" w:lineRule="auto"/>
            <w:rPr>
              <w:rFonts w:ascii="仿宋" w:eastAsia="仿宋" w:hAnsi="仿宋" w:cstheme="minorBidi"/>
              <w:noProof/>
              <w:szCs w:val="22"/>
            </w:rPr>
          </w:pPr>
          <w:hyperlink w:anchor="_Toc113284455" w:history="1">
            <w:r w:rsidR="00A44BD3" w:rsidRPr="00A44BD3">
              <w:rPr>
                <w:rStyle w:val="a8"/>
                <w:rFonts w:ascii="仿宋" w:eastAsia="仿宋" w:hAnsi="仿宋" w:cs="仿宋_GB2312"/>
                <w:noProof/>
              </w:rPr>
              <w:t>十、一般公共预算财政拨款“三公”经费支出决算表</w:t>
            </w:r>
            <w:r w:rsidR="00A44BD3" w:rsidRPr="00A44BD3">
              <w:rPr>
                <w:rFonts w:ascii="仿宋" w:eastAsia="仿宋" w:hAnsi="仿宋"/>
                <w:noProof/>
                <w:webHidden/>
              </w:rPr>
              <w:tab/>
            </w:r>
            <w:r w:rsidRPr="00A44BD3">
              <w:rPr>
                <w:rFonts w:ascii="仿宋" w:eastAsia="仿宋" w:hAnsi="仿宋"/>
                <w:noProof/>
                <w:webHidden/>
              </w:rPr>
              <w:fldChar w:fldCharType="begin"/>
            </w:r>
            <w:r w:rsidR="00A44BD3" w:rsidRPr="00A44BD3">
              <w:rPr>
                <w:rFonts w:ascii="仿宋" w:eastAsia="仿宋" w:hAnsi="仿宋"/>
                <w:noProof/>
                <w:webHidden/>
              </w:rPr>
              <w:instrText xml:space="preserve"> PAGEREF _Toc113284455 \h </w:instrText>
            </w:r>
            <w:r w:rsidRPr="00A44BD3">
              <w:rPr>
                <w:rFonts w:ascii="仿宋" w:eastAsia="仿宋" w:hAnsi="仿宋"/>
                <w:noProof/>
                <w:webHidden/>
              </w:rPr>
            </w:r>
            <w:r w:rsidRPr="00A44BD3">
              <w:rPr>
                <w:rFonts w:ascii="仿宋" w:eastAsia="仿宋" w:hAnsi="仿宋"/>
                <w:noProof/>
                <w:webHidden/>
              </w:rPr>
              <w:fldChar w:fldCharType="separate"/>
            </w:r>
            <w:r w:rsidR="00A44BD3" w:rsidRPr="00A44BD3">
              <w:rPr>
                <w:rFonts w:ascii="仿宋" w:eastAsia="仿宋" w:hAnsi="仿宋"/>
                <w:noProof/>
                <w:webHidden/>
              </w:rPr>
              <w:t>20</w:t>
            </w:r>
            <w:r w:rsidRPr="00A44BD3">
              <w:rPr>
                <w:rFonts w:ascii="仿宋" w:eastAsia="仿宋" w:hAnsi="仿宋"/>
                <w:noProof/>
                <w:webHidden/>
              </w:rPr>
              <w:fldChar w:fldCharType="end"/>
            </w:r>
          </w:hyperlink>
        </w:p>
        <w:p w:rsidR="00A44BD3" w:rsidRPr="00A44BD3" w:rsidRDefault="00B53562" w:rsidP="00524E09">
          <w:pPr>
            <w:pStyle w:val="20"/>
            <w:adjustRightInd w:val="0"/>
            <w:snapToGrid w:val="0"/>
            <w:spacing w:line="288" w:lineRule="auto"/>
            <w:rPr>
              <w:rFonts w:ascii="仿宋" w:eastAsia="仿宋" w:hAnsi="仿宋" w:cstheme="minorBidi"/>
              <w:noProof/>
              <w:szCs w:val="22"/>
            </w:rPr>
          </w:pPr>
          <w:hyperlink w:anchor="_Toc113284456" w:history="1">
            <w:r w:rsidR="00A44BD3" w:rsidRPr="00A44BD3">
              <w:rPr>
                <w:rStyle w:val="a8"/>
                <w:rFonts w:ascii="仿宋" w:eastAsia="仿宋" w:hAnsi="仿宋" w:cs="仿宋_GB2312"/>
                <w:noProof/>
              </w:rPr>
              <w:t>十一、政府性基金预算财政拨款收入支出决算表</w:t>
            </w:r>
            <w:r w:rsidR="00A44BD3" w:rsidRPr="00A44BD3">
              <w:rPr>
                <w:rFonts w:ascii="仿宋" w:eastAsia="仿宋" w:hAnsi="仿宋"/>
                <w:noProof/>
                <w:webHidden/>
              </w:rPr>
              <w:tab/>
            </w:r>
            <w:r w:rsidRPr="00A44BD3">
              <w:rPr>
                <w:rFonts w:ascii="仿宋" w:eastAsia="仿宋" w:hAnsi="仿宋"/>
                <w:noProof/>
                <w:webHidden/>
              </w:rPr>
              <w:fldChar w:fldCharType="begin"/>
            </w:r>
            <w:r w:rsidR="00A44BD3" w:rsidRPr="00A44BD3">
              <w:rPr>
                <w:rFonts w:ascii="仿宋" w:eastAsia="仿宋" w:hAnsi="仿宋"/>
                <w:noProof/>
                <w:webHidden/>
              </w:rPr>
              <w:instrText xml:space="preserve"> PAGEREF _Toc113284456 \h </w:instrText>
            </w:r>
            <w:r w:rsidRPr="00A44BD3">
              <w:rPr>
                <w:rFonts w:ascii="仿宋" w:eastAsia="仿宋" w:hAnsi="仿宋"/>
                <w:noProof/>
                <w:webHidden/>
              </w:rPr>
            </w:r>
            <w:r w:rsidRPr="00A44BD3">
              <w:rPr>
                <w:rFonts w:ascii="仿宋" w:eastAsia="仿宋" w:hAnsi="仿宋"/>
                <w:noProof/>
                <w:webHidden/>
              </w:rPr>
              <w:fldChar w:fldCharType="separate"/>
            </w:r>
            <w:r w:rsidR="00A44BD3" w:rsidRPr="00A44BD3">
              <w:rPr>
                <w:rFonts w:ascii="仿宋" w:eastAsia="仿宋" w:hAnsi="仿宋"/>
                <w:noProof/>
                <w:webHidden/>
              </w:rPr>
              <w:t>20</w:t>
            </w:r>
            <w:r w:rsidRPr="00A44BD3">
              <w:rPr>
                <w:rFonts w:ascii="仿宋" w:eastAsia="仿宋" w:hAnsi="仿宋"/>
                <w:noProof/>
                <w:webHidden/>
              </w:rPr>
              <w:fldChar w:fldCharType="end"/>
            </w:r>
          </w:hyperlink>
        </w:p>
        <w:p w:rsidR="00A44BD3" w:rsidRPr="00A44BD3" w:rsidRDefault="00B53562" w:rsidP="00524E09">
          <w:pPr>
            <w:pStyle w:val="20"/>
            <w:adjustRightInd w:val="0"/>
            <w:snapToGrid w:val="0"/>
            <w:spacing w:line="288" w:lineRule="auto"/>
            <w:rPr>
              <w:rFonts w:ascii="仿宋" w:eastAsia="仿宋" w:hAnsi="仿宋" w:cstheme="minorBidi"/>
              <w:noProof/>
              <w:szCs w:val="22"/>
            </w:rPr>
          </w:pPr>
          <w:hyperlink w:anchor="_Toc113284457" w:history="1">
            <w:r w:rsidR="00A44BD3" w:rsidRPr="00A44BD3">
              <w:rPr>
                <w:rStyle w:val="a8"/>
                <w:rFonts w:ascii="仿宋" w:eastAsia="仿宋" w:hAnsi="仿宋" w:cs="仿宋_GB2312"/>
                <w:noProof/>
              </w:rPr>
              <w:t>十二、</w:t>
            </w:r>
            <w:r w:rsidR="00A44BD3" w:rsidRPr="00A44BD3">
              <w:rPr>
                <w:rStyle w:val="a8"/>
                <w:rFonts w:ascii="仿宋" w:eastAsia="仿宋" w:hAnsi="仿宋" w:cs="仿宋_GB2312"/>
                <w:noProof/>
                <w:w w:val="95"/>
              </w:rPr>
              <w:t>政府性基金预算财政拨款“三公”经费支出决算表</w:t>
            </w:r>
            <w:r w:rsidR="00A44BD3" w:rsidRPr="00A44BD3">
              <w:rPr>
                <w:rFonts w:ascii="仿宋" w:eastAsia="仿宋" w:hAnsi="仿宋"/>
                <w:noProof/>
                <w:webHidden/>
              </w:rPr>
              <w:tab/>
            </w:r>
            <w:r w:rsidRPr="00A44BD3">
              <w:rPr>
                <w:rFonts w:ascii="仿宋" w:eastAsia="仿宋" w:hAnsi="仿宋"/>
                <w:noProof/>
                <w:webHidden/>
              </w:rPr>
              <w:fldChar w:fldCharType="begin"/>
            </w:r>
            <w:r w:rsidR="00A44BD3" w:rsidRPr="00A44BD3">
              <w:rPr>
                <w:rFonts w:ascii="仿宋" w:eastAsia="仿宋" w:hAnsi="仿宋"/>
                <w:noProof/>
                <w:webHidden/>
              </w:rPr>
              <w:instrText xml:space="preserve"> PAGEREF _Toc113284457 \h </w:instrText>
            </w:r>
            <w:r w:rsidRPr="00A44BD3">
              <w:rPr>
                <w:rFonts w:ascii="仿宋" w:eastAsia="仿宋" w:hAnsi="仿宋"/>
                <w:noProof/>
                <w:webHidden/>
              </w:rPr>
            </w:r>
            <w:r w:rsidRPr="00A44BD3">
              <w:rPr>
                <w:rFonts w:ascii="仿宋" w:eastAsia="仿宋" w:hAnsi="仿宋"/>
                <w:noProof/>
                <w:webHidden/>
              </w:rPr>
              <w:fldChar w:fldCharType="separate"/>
            </w:r>
            <w:r w:rsidR="00A44BD3" w:rsidRPr="00A44BD3">
              <w:rPr>
                <w:rFonts w:ascii="仿宋" w:eastAsia="仿宋" w:hAnsi="仿宋"/>
                <w:noProof/>
                <w:webHidden/>
              </w:rPr>
              <w:t>20</w:t>
            </w:r>
            <w:r w:rsidRPr="00A44BD3">
              <w:rPr>
                <w:rFonts w:ascii="仿宋" w:eastAsia="仿宋" w:hAnsi="仿宋"/>
                <w:noProof/>
                <w:webHidden/>
              </w:rPr>
              <w:fldChar w:fldCharType="end"/>
            </w:r>
          </w:hyperlink>
        </w:p>
        <w:p w:rsidR="00A44BD3" w:rsidRPr="00A44BD3" w:rsidRDefault="00B53562" w:rsidP="00524E09">
          <w:pPr>
            <w:pStyle w:val="20"/>
            <w:adjustRightInd w:val="0"/>
            <w:snapToGrid w:val="0"/>
            <w:spacing w:line="288" w:lineRule="auto"/>
            <w:rPr>
              <w:rFonts w:ascii="仿宋" w:eastAsia="仿宋" w:hAnsi="仿宋" w:cstheme="minorBidi"/>
              <w:noProof/>
              <w:szCs w:val="22"/>
            </w:rPr>
          </w:pPr>
          <w:hyperlink w:anchor="_Toc113284458" w:history="1">
            <w:r w:rsidR="00A44BD3" w:rsidRPr="00A44BD3">
              <w:rPr>
                <w:rStyle w:val="a8"/>
                <w:rFonts w:ascii="仿宋" w:eastAsia="仿宋" w:hAnsi="仿宋" w:cs="仿宋_GB2312"/>
                <w:noProof/>
              </w:rPr>
              <w:t>十三、国有资本经营预算财政拨款收入支出决算表</w:t>
            </w:r>
            <w:r w:rsidR="00A44BD3" w:rsidRPr="00A44BD3">
              <w:rPr>
                <w:rFonts w:ascii="仿宋" w:eastAsia="仿宋" w:hAnsi="仿宋"/>
                <w:noProof/>
                <w:webHidden/>
              </w:rPr>
              <w:tab/>
            </w:r>
            <w:r w:rsidRPr="00A44BD3">
              <w:rPr>
                <w:rFonts w:ascii="仿宋" w:eastAsia="仿宋" w:hAnsi="仿宋"/>
                <w:noProof/>
                <w:webHidden/>
              </w:rPr>
              <w:fldChar w:fldCharType="begin"/>
            </w:r>
            <w:r w:rsidR="00A44BD3" w:rsidRPr="00A44BD3">
              <w:rPr>
                <w:rFonts w:ascii="仿宋" w:eastAsia="仿宋" w:hAnsi="仿宋"/>
                <w:noProof/>
                <w:webHidden/>
              </w:rPr>
              <w:instrText xml:space="preserve"> PAGEREF _Toc113284458 \h </w:instrText>
            </w:r>
            <w:r w:rsidRPr="00A44BD3">
              <w:rPr>
                <w:rFonts w:ascii="仿宋" w:eastAsia="仿宋" w:hAnsi="仿宋"/>
                <w:noProof/>
                <w:webHidden/>
              </w:rPr>
            </w:r>
            <w:r w:rsidRPr="00A44BD3">
              <w:rPr>
                <w:rFonts w:ascii="仿宋" w:eastAsia="仿宋" w:hAnsi="仿宋"/>
                <w:noProof/>
                <w:webHidden/>
              </w:rPr>
              <w:fldChar w:fldCharType="separate"/>
            </w:r>
            <w:r w:rsidR="00A44BD3" w:rsidRPr="00A44BD3">
              <w:rPr>
                <w:rFonts w:ascii="仿宋" w:eastAsia="仿宋" w:hAnsi="仿宋"/>
                <w:noProof/>
                <w:webHidden/>
              </w:rPr>
              <w:t>20</w:t>
            </w:r>
            <w:r w:rsidRPr="00A44BD3">
              <w:rPr>
                <w:rFonts w:ascii="仿宋" w:eastAsia="仿宋" w:hAnsi="仿宋"/>
                <w:noProof/>
                <w:webHidden/>
              </w:rPr>
              <w:fldChar w:fldCharType="end"/>
            </w:r>
          </w:hyperlink>
        </w:p>
        <w:p w:rsidR="00A44BD3" w:rsidRDefault="00B53562" w:rsidP="00524E09">
          <w:pPr>
            <w:pStyle w:val="20"/>
            <w:adjustRightInd w:val="0"/>
            <w:snapToGrid w:val="0"/>
            <w:spacing w:line="288" w:lineRule="auto"/>
            <w:rPr>
              <w:rFonts w:asciiTheme="minorHAnsi" w:eastAsiaTheme="minorEastAsia" w:hAnsiTheme="minorHAnsi" w:cstheme="minorBidi"/>
              <w:noProof/>
              <w:szCs w:val="22"/>
            </w:rPr>
          </w:pPr>
          <w:hyperlink w:anchor="_Toc113284459" w:history="1">
            <w:r w:rsidR="00A44BD3" w:rsidRPr="00A44BD3">
              <w:rPr>
                <w:rStyle w:val="a8"/>
                <w:rFonts w:ascii="仿宋" w:eastAsia="仿宋" w:hAnsi="仿宋" w:cs="仿宋_GB2312"/>
                <w:noProof/>
              </w:rPr>
              <w:t>十四、国有资本经营预算财政拨款支出决算表</w:t>
            </w:r>
            <w:r w:rsidR="00A44BD3" w:rsidRPr="00A44BD3">
              <w:rPr>
                <w:rFonts w:ascii="仿宋" w:eastAsia="仿宋" w:hAnsi="仿宋"/>
                <w:noProof/>
                <w:webHidden/>
              </w:rPr>
              <w:tab/>
            </w:r>
            <w:r w:rsidRPr="00A44BD3">
              <w:rPr>
                <w:rFonts w:ascii="仿宋" w:eastAsia="仿宋" w:hAnsi="仿宋"/>
                <w:noProof/>
                <w:webHidden/>
              </w:rPr>
              <w:fldChar w:fldCharType="begin"/>
            </w:r>
            <w:r w:rsidR="00A44BD3" w:rsidRPr="00A44BD3">
              <w:rPr>
                <w:rFonts w:ascii="仿宋" w:eastAsia="仿宋" w:hAnsi="仿宋"/>
                <w:noProof/>
                <w:webHidden/>
              </w:rPr>
              <w:instrText xml:space="preserve"> PAGEREF _Toc113284459 \h </w:instrText>
            </w:r>
            <w:r w:rsidRPr="00A44BD3">
              <w:rPr>
                <w:rFonts w:ascii="仿宋" w:eastAsia="仿宋" w:hAnsi="仿宋"/>
                <w:noProof/>
                <w:webHidden/>
              </w:rPr>
            </w:r>
            <w:r w:rsidRPr="00A44BD3">
              <w:rPr>
                <w:rFonts w:ascii="仿宋" w:eastAsia="仿宋" w:hAnsi="仿宋"/>
                <w:noProof/>
                <w:webHidden/>
              </w:rPr>
              <w:fldChar w:fldCharType="separate"/>
            </w:r>
            <w:r w:rsidR="00A44BD3" w:rsidRPr="00A44BD3">
              <w:rPr>
                <w:rFonts w:ascii="仿宋" w:eastAsia="仿宋" w:hAnsi="仿宋"/>
                <w:noProof/>
                <w:webHidden/>
              </w:rPr>
              <w:t>20</w:t>
            </w:r>
            <w:r w:rsidRPr="00A44BD3">
              <w:rPr>
                <w:rFonts w:ascii="仿宋" w:eastAsia="仿宋" w:hAnsi="仿宋"/>
                <w:noProof/>
                <w:webHidden/>
              </w:rPr>
              <w:fldChar w:fldCharType="end"/>
            </w:r>
          </w:hyperlink>
        </w:p>
        <w:p w:rsidR="009621FB" w:rsidRDefault="00B53562">
          <w:r>
            <w:rPr>
              <w:b/>
              <w:bCs/>
              <w:noProof/>
            </w:rPr>
            <w:fldChar w:fldCharType="end"/>
          </w:r>
        </w:p>
      </w:sdtContent>
    </w:sdt>
    <w:p w:rsidR="00B377EC" w:rsidRDefault="00B377EC">
      <w:pPr>
        <w:widowControl/>
        <w:adjustRightInd w:val="0"/>
        <w:snapToGrid w:val="0"/>
        <w:spacing w:line="440" w:lineRule="exact"/>
        <w:ind w:firstLineChars="550" w:firstLine="1320"/>
        <w:jc w:val="left"/>
        <w:rPr>
          <w:rFonts w:eastAsia="仿宋_GB2312"/>
          <w:sz w:val="24"/>
        </w:rPr>
      </w:pPr>
    </w:p>
    <w:p w:rsidR="00B377EC" w:rsidRDefault="00F95364">
      <w:pPr>
        <w:widowControl/>
        <w:spacing w:line="440" w:lineRule="exact"/>
        <w:jc w:val="left"/>
        <w:rPr>
          <w:rFonts w:ascii="仿宋" w:eastAsia="仿宋" w:hAnsi="仿宋"/>
          <w:bCs/>
          <w:kern w:val="44"/>
          <w:sz w:val="24"/>
        </w:rPr>
      </w:pPr>
      <w:bookmarkStart w:id="12" w:name="_Toc15377196"/>
      <w:bookmarkStart w:id="13" w:name="_Toc15396599"/>
      <w:r>
        <w:rPr>
          <w:rFonts w:ascii="仿宋" w:eastAsia="仿宋" w:hAnsi="仿宋"/>
          <w:b/>
          <w:sz w:val="24"/>
        </w:rPr>
        <w:br w:type="page"/>
      </w:r>
    </w:p>
    <w:p w:rsidR="00B377EC" w:rsidRDefault="00F95364">
      <w:pPr>
        <w:pStyle w:val="1"/>
        <w:spacing w:before="0" w:after="0" w:line="600" w:lineRule="exact"/>
        <w:jc w:val="center"/>
        <w:rPr>
          <w:rStyle w:val="1Char"/>
          <w:rFonts w:ascii="黑体" w:eastAsia="黑体" w:hAnsi="黑体"/>
          <w:b/>
        </w:rPr>
      </w:pPr>
      <w:bookmarkStart w:id="14" w:name="_Toc113284420"/>
      <w:r>
        <w:rPr>
          <w:rFonts w:ascii="黑体" w:eastAsia="黑体" w:hAnsi="黑体" w:hint="eastAsia"/>
          <w:b w:val="0"/>
        </w:rPr>
        <w:lastRenderedPageBreak/>
        <w:t>第一部分 单位</w:t>
      </w:r>
      <w:r>
        <w:rPr>
          <w:rStyle w:val="1Char"/>
          <w:rFonts w:ascii="黑体" w:eastAsia="黑体" w:hAnsi="黑体" w:hint="eastAsia"/>
        </w:rPr>
        <w:t>概况</w:t>
      </w:r>
      <w:bookmarkEnd w:id="12"/>
      <w:bookmarkEnd w:id="13"/>
      <w:bookmarkEnd w:id="14"/>
    </w:p>
    <w:p w:rsidR="00B377EC" w:rsidRDefault="00B377EC">
      <w:pPr>
        <w:widowControl/>
        <w:spacing w:line="600" w:lineRule="exact"/>
        <w:jc w:val="left"/>
        <w:rPr>
          <w:rFonts w:ascii="黑体" w:eastAsia="黑体"/>
          <w:sz w:val="32"/>
          <w:szCs w:val="32"/>
        </w:rPr>
      </w:pPr>
    </w:p>
    <w:p w:rsidR="00B377EC" w:rsidRDefault="00F95364">
      <w:pPr>
        <w:pStyle w:val="2"/>
        <w:spacing w:before="0" w:after="0" w:line="600" w:lineRule="exact"/>
        <w:ind w:firstLineChars="200" w:firstLine="640"/>
        <w:rPr>
          <w:rStyle w:val="2Char"/>
          <w:rFonts w:ascii="黑体" w:eastAsia="黑体" w:hAnsi="黑体"/>
        </w:rPr>
      </w:pPr>
      <w:bookmarkStart w:id="15" w:name="_Toc113284421"/>
      <w:bookmarkStart w:id="16" w:name="_Toc15396600"/>
      <w:bookmarkStart w:id="17" w:name="_Toc15377197"/>
      <w:r>
        <w:rPr>
          <w:rStyle w:val="2Char"/>
          <w:rFonts w:ascii="黑体" w:eastAsia="黑体" w:hAnsi="黑体" w:hint="eastAsia"/>
        </w:rPr>
        <w:t>一、职能简介</w:t>
      </w:r>
      <w:bookmarkEnd w:id="15"/>
    </w:p>
    <w:p w:rsidR="00B377EC" w:rsidRDefault="00F95364">
      <w:pPr>
        <w:spacing w:line="600" w:lineRule="exact"/>
        <w:ind w:firstLineChars="200" w:firstLine="640"/>
        <w:rPr>
          <w:rFonts w:ascii="仿宋_GB2312" w:eastAsia="仿宋_GB2312" w:hAnsi="仿宋_GB2312" w:cs="仿宋_GB2312"/>
          <w:color w:val="0D0D0D"/>
          <w:sz w:val="32"/>
          <w:szCs w:val="32"/>
        </w:rPr>
      </w:pPr>
      <w:r>
        <w:rPr>
          <w:rFonts w:ascii="仿宋_GB2312" w:eastAsia="仿宋_GB2312" w:hAnsi="仿宋_GB2312" w:cs="仿宋_GB2312" w:hint="eastAsia"/>
          <w:color w:val="0D0D0D"/>
          <w:sz w:val="32"/>
          <w:szCs w:val="32"/>
        </w:rPr>
        <w:t>四川驻沪办受省政府委托行使职权，负责联系上海、江苏、浙江、安徽、山东、湖北、河南等六省一市。</w:t>
      </w:r>
      <w:r>
        <w:rPr>
          <w:rFonts w:ascii="仿宋_GB2312" w:eastAsia="仿宋_GB2312" w:hAnsi="仿宋_GB2312" w:cs="仿宋_GB2312" w:hint="eastAsia"/>
          <w:color w:val="0D0D0D"/>
          <w:kern w:val="0"/>
          <w:sz w:val="32"/>
          <w:szCs w:val="32"/>
        </w:rPr>
        <w:t>一是</w:t>
      </w:r>
      <w:r>
        <w:rPr>
          <w:rFonts w:ascii="仿宋_GB2312" w:eastAsia="仿宋_GB2312" w:hAnsi="仿宋_GB2312" w:cs="仿宋_GB2312" w:hint="eastAsia"/>
          <w:color w:val="0D0D0D"/>
          <w:sz w:val="32"/>
          <w:szCs w:val="32"/>
        </w:rPr>
        <w:t>促进经济合作。围绕省委、省政府的工作部署和我省经济建设中心工作，组织实施充分开放合作战略，推进区域经济合作；加强与所联系区域的重点企业的联系，加强投资意向的收集、分析、对接，开展投资促进工作；配合我省投资促进重大活动，搭建专业化合作平台，为省级部门、市（州）和重点园区开展投资促进活动提供服务；二是开展政务和信息服务。开展专题调研和信息工作，及时准确向省委、省政府及省直有关部门提供联系区域政治、经济、社会信息，为省委、省政府决策提供参考依据；负责与联系区域的党委、政府及有关部门的联系，促进区域间的相互了解和友好往来；参与我省与联系区域之间重大政务活动的组织、协调和服务工作；协助联系区域党组织对我省流动党员的管理和党建工作；指导我省驻外机构、商（协）会工作。三是承担劳务服务工作。承担劳务调研和服务、川籍农民工管理、突发事件处置等工作；维护我省各类组织机构和人员在联系区域的合法权益，协助调解劳务纠纷；参与劳务输出和结构性劳动力回流有关工作；四是承办省委、省政府和主管部门交办的其他事宜。</w:t>
      </w:r>
    </w:p>
    <w:p w:rsidR="00B377EC" w:rsidRDefault="00F95364">
      <w:pPr>
        <w:pStyle w:val="2"/>
        <w:spacing w:before="0" w:after="0" w:line="600" w:lineRule="exact"/>
        <w:ind w:firstLineChars="200" w:firstLine="640"/>
        <w:rPr>
          <w:rFonts w:ascii="黑体" w:eastAsia="黑体" w:hAnsi="黑体"/>
          <w:b w:val="0"/>
        </w:rPr>
      </w:pPr>
      <w:bookmarkStart w:id="18" w:name="_Toc113284422"/>
      <w:r>
        <w:rPr>
          <w:rFonts w:ascii="黑体" w:eastAsia="黑体" w:hAnsi="黑体" w:hint="eastAsia"/>
          <w:b w:val="0"/>
        </w:rPr>
        <w:lastRenderedPageBreak/>
        <w:t>二、2021年重点工作</w:t>
      </w:r>
      <w:bookmarkEnd w:id="16"/>
      <w:bookmarkEnd w:id="17"/>
      <w:r>
        <w:rPr>
          <w:rFonts w:ascii="黑体" w:eastAsia="黑体" w:hAnsi="黑体" w:hint="eastAsia"/>
          <w:b w:val="0"/>
        </w:rPr>
        <w:t>完成情况</w:t>
      </w:r>
      <w:bookmarkEnd w:id="18"/>
    </w:p>
    <w:p w:rsidR="00B377EC" w:rsidRPr="00A13118" w:rsidRDefault="00F95364" w:rsidP="00A44BD3">
      <w:pPr>
        <w:ind w:firstLine="567"/>
        <w:rPr>
          <w:rFonts w:ascii="仿宋_GB2312" w:eastAsia="仿宋_GB2312" w:hAnsi="仿宋_GB2312" w:cs="仿宋_GB2312"/>
          <w:sz w:val="32"/>
          <w:szCs w:val="40"/>
        </w:rPr>
      </w:pPr>
      <w:r w:rsidRPr="00A13118">
        <w:rPr>
          <w:rFonts w:ascii="楷体" w:eastAsia="楷体" w:hAnsi="楷体" w:cs="楷体" w:hint="eastAsia"/>
          <w:bCs/>
          <w:kern w:val="0"/>
          <w:sz w:val="32"/>
          <w:szCs w:val="32"/>
        </w:rPr>
        <w:t>1.用好政治建设牵引力，干事创业激情持续焕发</w:t>
      </w:r>
      <w:r w:rsidRPr="00A13118">
        <w:rPr>
          <w:rFonts w:ascii="仿宋_GB2312" w:eastAsia="仿宋_GB2312" w:hAnsi="仿宋_GB2312" w:cs="仿宋_GB2312" w:hint="eastAsia"/>
          <w:sz w:val="32"/>
          <w:szCs w:val="40"/>
        </w:rPr>
        <w:t>。鲜明红色主基调，把学习贯彻习近平新时代中国特色社会主义思想、开展党史学习教育、庆祝建党一百周年、学习贯彻党的十九届六中全会精神作为重中之重，引导党员干部增强“四个意识”、坚定“四个自信”、捍卫“两个确立”，做到“两个维护”，不断提高政治判断力、政治领悟力和政治执行力，凝心聚力打好一场又一场开放合作的攻坚战、持久战。</w:t>
      </w:r>
    </w:p>
    <w:p w:rsidR="00A13118" w:rsidRDefault="00F95364" w:rsidP="00A44BD3">
      <w:pPr>
        <w:ind w:firstLine="567"/>
        <w:rPr>
          <w:rFonts w:ascii="仿宋_GB2312" w:eastAsia="仿宋_GB2312" w:hAnsi="仿宋_GB2312" w:cs="仿宋_GB2312"/>
          <w:sz w:val="32"/>
          <w:szCs w:val="40"/>
        </w:rPr>
      </w:pPr>
      <w:r w:rsidRPr="00A13118">
        <w:rPr>
          <w:rFonts w:ascii="楷体" w:eastAsia="楷体" w:hAnsi="楷体" w:cs="楷体" w:hint="eastAsia"/>
          <w:bCs/>
          <w:kern w:val="0"/>
          <w:sz w:val="32"/>
          <w:szCs w:val="32"/>
        </w:rPr>
        <w:t>2.打好精准招商攻坚战，项目资金招引保质保量。</w:t>
      </w:r>
      <w:r w:rsidRPr="00A13118">
        <w:rPr>
          <w:rFonts w:ascii="仿宋_GB2312" w:eastAsia="仿宋_GB2312" w:hAnsi="仿宋_GB2312" w:cs="仿宋_GB2312" w:hint="eastAsia"/>
          <w:sz w:val="32"/>
          <w:szCs w:val="40"/>
        </w:rPr>
        <w:t>围绕全省经济合作“协同·创新·提质年”主题，按照“热情招商、紧追洽谈、审慎签约、全力落实”的要求，立体纵深打造更具影响力的经济合作平台。</w:t>
      </w:r>
      <w:r w:rsidR="000139D9" w:rsidRPr="00A13118">
        <w:rPr>
          <w:rFonts w:ascii="仿宋_GB2312" w:eastAsia="仿宋_GB2312" w:hAnsi="仿宋_GB2312" w:cs="仿宋_GB2312" w:hint="eastAsia"/>
          <w:sz w:val="32"/>
          <w:szCs w:val="40"/>
        </w:rPr>
        <w:t>一是改革创新，实施“抱团作战”抓住关键。在办事处机关推行‘“全办招商”，对市州招商力量实行“三推介一带领”模式，共同做大东企西引、东资西投的“蛋糕”</w:t>
      </w:r>
      <w:r w:rsidR="00945E43" w:rsidRPr="00A13118">
        <w:rPr>
          <w:rFonts w:ascii="仿宋_GB2312" w:eastAsia="仿宋_GB2312" w:hAnsi="仿宋_GB2312" w:cs="仿宋_GB2312" w:hint="eastAsia"/>
          <w:sz w:val="32"/>
          <w:szCs w:val="40"/>
        </w:rPr>
        <w:t>；</w:t>
      </w:r>
      <w:r w:rsidR="000139D9" w:rsidRPr="00A13118">
        <w:rPr>
          <w:rFonts w:ascii="仿宋_GB2312" w:eastAsia="仿宋_GB2312" w:hAnsi="仿宋_GB2312" w:cs="仿宋_GB2312" w:hint="eastAsia"/>
          <w:sz w:val="32"/>
          <w:szCs w:val="40"/>
        </w:rPr>
        <w:t>二是平台聚</w:t>
      </w:r>
      <w:r w:rsidR="000C6840" w:rsidRPr="00A13118">
        <w:rPr>
          <w:rFonts w:ascii="仿宋_GB2312" w:eastAsia="仿宋_GB2312" w:hAnsi="仿宋_GB2312" w:cs="仿宋_GB2312" w:hint="eastAsia"/>
          <w:sz w:val="32"/>
          <w:szCs w:val="40"/>
        </w:rPr>
        <w:t>合</w:t>
      </w:r>
      <w:r w:rsidR="000139D9" w:rsidRPr="00A13118">
        <w:rPr>
          <w:rFonts w:ascii="仿宋_GB2312" w:eastAsia="仿宋_GB2312" w:hAnsi="仿宋_GB2312" w:cs="仿宋_GB2312" w:hint="eastAsia"/>
          <w:sz w:val="32"/>
          <w:szCs w:val="40"/>
        </w:rPr>
        <w:t>，深化“以会招商”提升效能。沉着应对疫情、台风等“变量”因素影响，圆满完成“党政代表团浙江行”、“西博会””、“四川行”、“成渝地区双城经济圈全城投资推介会”等21场省级投资促进活动的筹办或协办任务</w:t>
      </w:r>
      <w:r w:rsidR="00945E43" w:rsidRPr="00A13118">
        <w:rPr>
          <w:rFonts w:ascii="仿宋_GB2312" w:eastAsia="仿宋_GB2312" w:hAnsi="仿宋_GB2312" w:cs="仿宋_GB2312" w:hint="eastAsia"/>
          <w:sz w:val="32"/>
          <w:szCs w:val="40"/>
        </w:rPr>
        <w:t>；三是紧追洽谈，争取高层推动促进落地。以省级经济合作平台为载体，邀请的56家重量级企业和商协会负责人受到省领导会见；四是招优引强，促成重大项目强链补链；五是聚焦推进，围绕“百日攻坚”</w:t>
      </w:r>
      <w:r w:rsidR="0083538E" w:rsidRPr="00A13118">
        <w:rPr>
          <w:rFonts w:ascii="仿宋_GB2312" w:eastAsia="仿宋_GB2312" w:hAnsi="仿宋_GB2312" w:cs="仿宋_GB2312" w:hint="eastAsia"/>
          <w:sz w:val="32"/>
          <w:szCs w:val="40"/>
        </w:rPr>
        <w:t>开展高质量活动</w:t>
      </w:r>
      <w:r w:rsidR="00945E43" w:rsidRPr="00A13118">
        <w:rPr>
          <w:rFonts w:ascii="仿宋_GB2312" w:eastAsia="仿宋_GB2312" w:hAnsi="仿宋_GB2312" w:cs="仿宋_GB2312" w:hint="eastAsia"/>
          <w:sz w:val="32"/>
          <w:szCs w:val="40"/>
        </w:rPr>
        <w:t>。</w:t>
      </w:r>
    </w:p>
    <w:p w:rsidR="00B377EC" w:rsidRPr="00A13118" w:rsidRDefault="00F95364" w:rsidP="00A44BD3">
      <w:pPr>
        <w:ind w:firstLine="567"/>
        <w:rPr>
          <w:rFonts w:ascii="仿宋_GB2312" w:eastAsia="仿宋_GB2312" w:hAnsi="仿宋_GB2312" w:cs="仿宋_GB2312"/>
          <w:sz w:val="32"/>
          <w:szCs w:val="40"/>
        </w:rPr>
      </w:pPr>
      <w:r w:rsidRPr="00A13118">
        <w:rPr>
          <w:rFonts w:ascii="楷体" w:eastAsia="楷体" w:hAnsi="楷体" w:cs="楷体" w:hint="eastAsia"/>
          <w:bCs/>
          <w:kern w:val="0"/>
          <w:sz w:val="32"/>
          <w:szCs w:val="32"/>
        </w:rPr>
        <w:lastRenderedPageBreak/>
        <w:t>3.走好心手相连暖心路，农民工服务保障扩面强基。</w:t>
      </w:r>
      <w:r w:rsidRPr="00A13118">
        <w:rPr>
          <w:rFonts w:ascii="仿宋_GB2312" w:eastAsia="仿宋_GB2312" w:hAnsi="仿宋_GB2312" w:cs="仿宋_GB2312" w:hint="eastAsia"/>
          <w:sz w:val="32"/>
          <w:szCs w:val="40"/>
        </w:rPr>
        <w:t>按照“两个服务好”指示精神以及农民工工作批示精神，以深化“四中心一回引”工程为抓手，打造更具影响力的“川字号”劳务品牌，书写走好新时代党的群众路线“</w:t>
      </w:r>
      <w:r w:rsidR="00FA29A6" w:rsidRPr="00A13118">
        <w:rPr>
          <w:rFonts w:ascii="仿宋_GB2312" w:eastAsia="仿宋_GB2312" w:hAnsi="仿宋_GB2312" w:cs="仿宋_GB2312" w:hint="eastAsia"/>
          <w:sz w:val="32"/>
          <w:szCs w:val="40"/>
        </w:rPr>
        <w:t>四川驻沪办</w:t>
      </w:r>
      <w:r w:rsidRPr="00A13118">
        <w:rPr>
          <w:rFonts w:ascii="仿宋_GB2312" w:eastAsia="仿宋_GB2312" w:hAnsi="仿宋_GB2312" w:cs="仿宋_GB2312" w:hint="eastAsia"/>
          <w:sz w:val="32"/>
          <w:szCs w:val="40"/>
        </w:rPr>
        <w:t>”新篇章。</w:t>
      </w:r>
    </w:p>
    <w:p w:rsidR="00B377EC" w:rsidRDefault="00F95364" w:rsidP="00A44BD3">
      <w:pPr>
        <w:spacing w:line="600" w:lineRule="exact"/>
        <w:ind w:firstLine="567"/>
        <w:rPr>
          <w:rFonts w:ascii="仿宋_GB2312" w:eastAsia="仿宋_GB2312" w:hAnsi="仿宋_GB2312" w:cs="仿宋_GB2312"/>
          <w:bCs/>
          <w:sz w:val="32"/>
          <w:szCs w:val="32"/>
        </w:rPr>
      </w:pPr>
      <w:r>
        <w:rPr>
          <w:rFonts w:ascii="楷体" w:eastAsia="楷体" w:hAnsi="楷体" w:cs="楷体" w:hint="eastAsia"/>
          <w:bCs/>
          <w:kern w:val="0"/>
          <w:sz w:val="32"/>
          <w:szCs w:val="32"/>
        </w:rPr>
        <w:t>4.当好信息服务排头兵，传播四川好声音愈发响亮。</w:t>
      </w:r>
      <w:r>
        <w:rPr>
          <w:rFonts w:ascii="仿宋_GB2312" w:eastAsia="仿宋_GB2312" w:hAnsi="仿宋_GB2312" w:cs="仿宋_GB2312" w:hint="eastAsia"/>
          <w:bCs/>
          <w:sz w:val="32"/>
          <w:szCs w:val="32"/>
        </w:rPr>
        <w:t>围绕我省中心工作、全办重点任务，拓宽信息渠道、整合信息资源、挖掘信息深度，对外传播四川好声音，对内递送东部好经验。</w:t>
      </w:r>
    </w:p>
    <w:p w:rsidR="00575038" w:rsidRDefault="00F95364" w:rsidP="00A44BD3">
      <w:pPr>
        <w:spacing w:line="600" w:lineRule="exact"/>
        <w:ind w:firstLine="567"/>
        <w:rPr>
          <w:rFonts w:ascii="仿宋_GB2312" w:eastAsia="仿宋_GB2312" w:hAnsi="仿宋_GB2312" w:cs="仿宋_GB2312"/>
          <w:bCs/>
          <w:sz w:val="32"/>
          <w:szCs w:val="32"/>
        </w:rPr>
      </w:pPr>
      <w:r>
        <w:rPr>
          <w:rFonts w:ascii="楷体" w:eastAsia="楷体" w:hAnsi="楷体" w:cs="楷体" w:hint="eastAsia"/>
          <w:bCs/>
          <w:kern w:val="0"/>
          <w:sz w:val="32"/>
          <w:szCs w:val="32"/>
        </w:rPr>
        <w:t>5.建好驻外人才工作站，招才引智工作开局良好。</w:t>
      </w:r>
      <w:r>
        <w:rPr>
          <w:rFonts w:ascii="仿宋_GB2312" w:eastAsia="仿宋_GB2312" w:hAnsi="仿宋_GB2312" w:cs="仿宋_GB2312" w:hint="eastAsia"/>
          <w:bCs/>
          <w:sz w:val="32"/>
          <w:szCs w:val="32"/>
        </w:rPr>
        <w:t>“四川省驻外人才工作站”授牌后，经研究初步确定“抓基础、搭框架、找链接、促合作”的思路逐步破题。</w:t>
      </w:r>
      <w:r w:rsidR="0083538E">
        <w:rPr>
          <w:rFonts w:ascii="仿宋_GB2312" w:eastAsia="仿宋_GB2312" w:hAnsi="仿宋_GB2312" w:cs="仿宋_GB2312" w:hint="eastAsia"/>
          <w:bCs/>
          <w:sz w:val="32"/>
          <w:szCs w:val="32"/>
        </w:rPr>
        <w:t>配合省委组织部</w:t>
      </w:r>
      <w:r>
        <w:rPr>
          <w:rFonts w:ascii="仿宋_GB2312" w:eastAsia="仿宋_GB2312" w:hAnsi="仿宋_GB2312" w:cs="仿宋_GB2312" w:hint="eastAsia"/>
          <w:bCs/>
          <w:sz w:val="32"/>
          <w:szCs w:val="32"/>
        </w:rPr>
        <w:t>开展应届急需紧缺专业选调生招录面试工作，举办在沪人才座谈会，推介四川经济社会发展情况、创新创业环境、引智政策和高层次人才需求等。</w:t>
      </w:r>
    </w:p>
    <w:p w:rsidR="00B377EC" w:rsidRDefault="00F95364" w:rsidP="00A44BD3">
      <w:pPr>
        <w:spacing w:line="600" w:lineRule="exact"/>
        <w:ind w:firstLine="567"/>
        <w:rPr>
          <w:rFonts w:ascii="仿宋_GB2312" w:eastAsia="仿宋_GB2312" w:hAnsi="仿宋_GB2312" w:cs="仿宋_GB2312"/>
          <w:bCs/>
          <w:sz w:val="32"/>
          <w:szCs w:val="32"/>
        </w:rPr>
      </w:pPr>
      <w:r>
        <w:rPr>
          <w:rFonts w:ascii="楷体" w:eastAsia="楷体" w:hAnsi="楷体" w:cs="楷体" w:hint="eastAsia"/>
          <w:bCs/>
          <w:kern w:val="0"/>
          <w:sz w:val="32"/>
          <w:szCs w:val="32"/>
        </w:rPr>
        <w:t>6.续好东西协作“山海情”，川浙交流合作更加紧密。</w:t>
      </w:r>
      <w:r>
        <w:rPr>
          <w:rFonts w:ascii="仿宋_GB2312" w:eastAsia="仿宋_GB2312" w:hAnsi="仿宋_GB2312" w:cs="仿宋_GB2312" w:hint="eastAsia"/>
          <w:bCs/>
          <w:sz w:val="32"/>
          <w:szCs w:val="32"/>
        </w:rPr>
        <w:t>借助浙川东西部协作这个最大的制度优势，把“浙江”作为我办投资促进、推动开放合作的热门“首选地”。</w:t>
      </w:r>
    </w:p>
    <w:p w:rsidR="00B377EC" w:rsidRPr="00A13118" w:rsidRDefault="00F95364" w:rsidP="00A44BD3">
      <w:pPr>
        <w:ind w:firstLine="567"/>
        <w:rPr>
          <w:rFonts w:ascii="仿宋_GB2312" w:eastAsia="仿宋_GB2312" w:hAnsi="仿宋_GB2312" w:cs="仿宋_GB2312"/>
          <w:b/>
        </w:rPr>
      </w:pPr>
      <w:r w:rsidRPr="00A13118">
        <w:rPr>
          <w:rFonts w:ascii="楷体" w:eastAsia="楷体" w:hAnsi="楷体" w:cs="楷体" w:hint="eastAsia"/>
          <w:bCs/>
          <w:kern w:val="0"/>
          <w:sz w:val="32"/>
          <w:szCs w:val="32"/>
        </w:rPr>
        <w:t>7.铸好干部淬炼“大熔炉”，干部队伍能力逐步提升</w:t>
      </w:r>
      <w:r w:rsidRPr="00A13118">
        <w:rPr>
          <w:rFonts w:ascii="仿宋_GB2312" w:eastAsia="仿宋_GB2312" w:hAnsi="仿宋_GB2312" w:cs="仿宋_GB2312" w:hint="eastAsia"/>
          <w:bCs/>
          <w:sz w:val="32"/>
          <w:szCs w:val="32"/>
        </w:rPr>
        <w:t>。努力建好“四好一强”领导班子，把“抓班子、带队伍，抓活力、聚合力，抓资源、搭平台，抓服务、树形象”统筹起来一体推进。</w:t>
      </w:r>
      <w:r w:rsidRPr="00A13118">
        <w:rPr>
          <w:rFonts w:ascii="仿宋_GB2312" w:eastAsia="仿宋_GB2312" w:hAnsi="仿宋_GB2312" w:cs="仿宋_GB2312"/>
          <w:b/>
        </w:rPr>
        <w:br w:type="page"/>
      </w:r>
    </w:p>
    <w:p w:rsidR="00B377EC" w:rsidRDefault="00F95364">
      <w:pPr>
        <w:pStyle w:val="1"/>
        <w:spacing w:before="0" w:after="0" w:line="600" w:lineRule="exact"/>
        <w:ind w:right="440"/>
        <w:jc w:val="center"/>
        <w:rPr>
          <w:rStyle w:val="1Char"/>
          <w:rFonts w:ascii="黑体" w:eastAsia="黑体" w:hAnsi="黑体"/>
          <w:bCs/>
        </w:rPr>
      </w:pPr>
      <w:bookmarkStart w:id="19" w:name="_Toc15396602"/>
      <w:bookmarkStart w:id="20" w:name="_Toc15377204"/>
      <w:bookmarkStart w:id="21" w:name="_Toc113284423"/>
      <w:r>
        <w:rPr>
          <w:rFonts w:ascii="黑体" w:eastAsia="黑体" w:hAnsi="黑体" w:hint="eastAsia"/>
          <w:b w:val="0"/>
        </w:rPr>
        <w:lastRenderedPageBreak/>
        <w:t>第二部分 2021年度</w:t>
      </w:r>
      <w:r>
        <w:rPr>
          <w:rStyle w:val="1Char"/>
          <w:rFonts w:ascii="黑体" w:eastAsia="黑体" w:hAnsi="黑体" w:hint="eastAsia"/>
          <w:bCs/>
        </w:rPr>
        <w:t>单位决算情况说明</w:t>
      </w:r>
      <w:bookmarkEnd w:id="19"/>
      <w:bookmarkEnd w:id="20"/>
      <w:bookmarkEnd w:id="21"/>
    </w:p>
    <w:p w:rsidR="00B377EC" w:rsidRDefault="00F95364">
      <w:pPr>
        <w:pStyle w:val="a9"/>
        <w:numPr>
          <w:ilvl w:val="0"/>
          <w:numId w:val="1"/>
        </w:numPr>
        <w:spacing w:line="600" w:lineRule="exact"/>
        <w:ind w:firstLineChars="0"/>
        <w:outlineLvl w:val="1"/>
        <w:rPr>
          <w:rStyle w:val="2Char"/>
          <w:rFonts w:ascii="黑体" w:eastAsia="黑体" w:hAnsi="黑体"/>
          <w:b w:val="0"/>
        </w:rPr>
      </w:pPr>
      <w:bookmarkStart w:id="22" w:name="_Toc15377205"/>
      <w:bookmarkStart w:id="23" w:name="_Toc15396603"/>
      <w:bookmarkStart w:id="24" w:name="_Toc113284424"/>
      <w:r>
        <w:rPr>
          <w:rFonts w:ascii="黑体" w:eastAsia="黑体" w:hAnsi="黑体" w:hint="eastAsia"/>
          <w:sz w:val="32"/>
          <w:szCs w:val="32"/>
        </w:rPr>
        <w:t>收</w:t>
      </w:r>
      <w:r>
        <w:rPr>
          <w:rStyle w:val="2Char"/>
          <w:rFonts w:ascii="黑体" w:eastAsia="黑体" w:hAnsi="黑体" w:hint="eastAsia"/>
          <w:b w:val="0"/>
        </w:rPr>
        <w:t>入支出决算总体情况说明</w:t>
      </w:r>
      <w:bookmarkEnd w:id="22"/>
      <w:bookmarkEnd w:id="23"/>
      <w:bookmarkEnd w:id="24"/>
    </w:p>
    <w:p w:rsidR="00B377EC" w:rsidRDefault="00F95364">
      <w:pPr>
        <w:spacing w:line="600" w:lineRule="exact"/>
        <w:ind w:firstLineChars="200" w:firstLine="640"/>
        <w:rPr>
          <w:rFonts w:eastAsia="仿宋_GB2312"/>
          <w:bCs/>
          <w:sz w:val="32"/>
          <w:szCs w:val="32"/>
        </w:rPr>
      </w:pPr>
      <w:r>
        <w:rPr>
          <w:rFonts w:eastAsia="仿宋_GB2312"/>
          <w:bCs/>
          <w:sz w:val="32"/>
          <w:szCs w:val="32"/>
        </w:rPr>
        <w:t>2021</w:t>
      </w:r>
      <w:r>
        <w:rPr>
          <w:rFonts w:eastAsia="仿宋_GB2312"/>
          <w:bCs/>
          <w:sz w:val="32"/>
          <w:szCs w:val="32"/>
        </w:rPr>
        <w:t>年度收、</w:t>
      </w:r>
      <w:r w:rsidRPr="00AC105C">
        <w:rPr>
          <w:rFonts w:eastAsia="仿宋_GB2312"/>
          <w:bCs/>
          <w:color w:val="000000" w:themeColor="text1"/>
          <w:sz w:val="32"/>
          <w:szCs w:val="32"/>
        </w:rPr>
        <w:t>支总计</w:t>
      </w:r>
      <w:r w:rsidR="00B96BDB" w:rsidRPr="00AC105C">
        <w:rPr>
          <w:rFonts w:eastAsia="仿宋_GB2312" w:hint="eastAsia"/>
          <w:bCs/>
          <w:color w:val="000000" w:themeColor="text1"/>
          <w:sz w:val="32"/>
          <w:szCs w:val="32"/>
        </w:rPr>
        <w:t>1308.31</w:t>
      </w:r>
      <w:r w:rsidRPr="00AC105C">
        <w:rPr>
          <w:rFonts w:eastAsia="仿宋_GB2312"/>
          <w:bCs/>
          <w:color w:val="000000" w:themeColor="text1"/>
          <w:sz w:val="32"/>
          <w:szCs w:val="32"/>
        </w:rPr>
        <w:t>万元。与</w:t>
      </w:r>
      <w:r w:rsidRPr="00AC105C">
        <w:rPr>
          <w:rFonts w:eastAsia="仿宋_GB2312"/>
          <w:bCs/>
          <w:color w:val="000000" w:themeColor="text1"/>
          <w:sz w:val="32"/>
          <w:szCs w:val="32"/>
        </w:rPr>
        <w:t>2020</w:t>
      </w:r>
      <w:r w:rsidRPr="00AC105C">
        <w:rPr>
          <w:rFonts w:eastAsia="仿宋_GB2312"/>
          <w:bCs/>
          <w:color w:val="000000" w:themeColor="text1"/>
          <w:sz w:val="32"/>
          <w:szCs w:val="32"/>
        </w:rPr>
        <w:t>年相比，收、支总计各增加</w:t>
      </w:r>
      <w:r w:rsidR="00B96BDB" w:rsidRPr="00AC105C">
        <w:rPr>
          <w:rFonts w:eastAsia="仿宋_GB2312" w:hint="eastAsia"/>
          <w:bCs/>
          <w:color w:val="000000" w:themeColor="text1"/>
          <w:sz w:val="32"/>
          <w:szCs w:val="32"/>
        </w:rPr>
        <w:t>324.31</w:t>
      </w:r>
      <w:r w:rsidRPr="00AC105C">
        <w:rPr>
          <w:rFonts w:eastAsia="仿宋_GB2312"/>
          <w:bCs/>
          <w:color w:val="000000" w:themeColor="text1"/>
          <w:sz w:val="32"/>
          <w:szCs w:val="32"/>
        </w:rPr>
        <w:t>万元，增长</w:t>
      </w:r>
      <w:r w:rsidR="00FA7B12" w:rsidRPr="00AC105C">
        <w:rPr>
          <w:rFonts w:eastAsia="仿宋_GB2312" w:hint="eastAsia"/>
          <w:bCs/>
          <w:color w:val="000000" w:themeColor="text1"/>
          <w:sz w:val="32"/>
          <w:szCs w:val="32"/>
        </w:rPr>
        <w:t>32.96</w:t>
      </w:r>
      <w:r w:rsidRPr="00AC105C">
        <w:rPr>
          <w:rFonts w:eastAsia="仿宋_GB2312"/>
          <w:bCs/>
          <w:color w:val="000000" w:themeColor="text1"/>
          <w:sz w:val="32"/>
          <w:szCs w:val="32"/>
        </w:rPr>
        <w:t>%</w:t>
      </w:r>
      <w:r w:rsidRPr="00AC105C">
        <w:rPr>
          <w:rFonts w:eastAsia="仿宋_GB2312"/>
          <w:bCs/>
          <w:color w:val="000000" w:themeColor="text1"/>
          <w:sz w:val="32"/>
          <w:szCs w:val="32"/>
        </w:rPr>
        <w:t>。主</w:t>
      </w:r>
      <w:r>
        <w:rPr>
          <w:rFonts w:eastAsia="仿宋_GB2312"/>
          <w:bCs/>
          <w:sz w:val="32"/>
          <w:szCs w:val="32"/>
        </w:rPr>
        <w:t>要变动原因是人员经费增加和省级预算内基本建设资金新增。</w:t>
      </w:r>
    </w:p>
    <w:p w:rsidR="00A44BD3" w:rsidRDefault="004A0993">
      <w:pPr>
        <w:pStyle w:val="a0"/>
        <w:tabs>
          <w:tab w:val="left" w:pos="8222"/>
        </w:tabs>
        <w:spacing w:before="93"/>
      </w:pPr>
      <w:r>
        <w:rPr>
          <w:noProof/>
        </w:rPr>
        <w:drawing>
          <wp:inline distT="0" distB="0" distL="0" distR="0">
            <wp:extent cx="5241925" cy="2725093"/>
            <wp:effectExtent l="0" t="0" r="0" b="0"/>
            <wp:docPr id="1"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8520766-D220-479F-8758-644C74795A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377EC" w:rsidRDefault="00F95364">
      <w:pPr>
        <w:pStyle w:val="a9"/>
        <w:numPr>
          <w:ilvl w:val="0"/>
          <w:numId w:val="1"/>
        </w:numPr>
        <w:spacing w:line="600" w:lineRule="exact"/>
        <w:ind w:firstLineChars="0"/>
        <w:outlineLvl w:val="1"/>
        <w:rPr>
          <w:rStyle w:val="2Char"/>
          <w:rFonts w:ascii="黑体" w:eastAsia="黑体" w:hAnsi="黑体"/>
          <w:b w:val="0"/>
        </w:rPr>
      </w:pPr>
      <w:bookmarkStart w:id="25" w:name="_Toc15396604"/>
      <w:bookmarkStart w:id="26" w:name="_Toc15377206"/>
      <w:bookmarkStart w:id="27" w:name="_Toc113284425"/>
      <w:r>
        <w:rPr>
          <w:rFonts w:ascii="黑体" w:eastAsia="黑体" w:hAnsi="黑体" w:hint="eastAsia"/>
          <w:sz w:val="32"/>
          <w:szCs w:val="32"/>
        </w:rPr>
        <w:t>收</w:t>
      </w:r>
      <w:r>
        <w:rPr>
          <w:rStyle w:val="2Char"/>
          <w:rFonts w:ascii="黑体" w:eastAsia="黑体" w:hAnsi="黑体" w:hint="eastAsia"/>
          <w:b w:val="0"/>
        </w:rPr>
        <w:t>入决算情况说明</w:t>
      </w:r>
      <w:bookmarkEnd w:id="25"/>
      <w:bookmarkEnd w:id="26"/>
      <w:bookmarkEnd w:id="27"/>
    </w:p>
    <w:p w:rsidR="00B377EC" w:rsidRDefault="00F95364">
      <w:pPr>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21</w:t>
      </w:r>
      <w:r>
        <w:rPr>
          <w:rFonts w:eastAsia="仿宋_GB2312" w:hint="eastAsia"/>
          <w:bCs/>
          <w:sz w:val="32"/>
          <w:szCs w:val="32"/>
        </w:rPr>
        <w:t>年本年收入合计</w:t>
      </w:r>
      <w:r>
        <w:rPr>
          <w:rFonts w:eastAsia="仿宋_GB2312" w:hint="eastAsia"/>
          <w:bCs/>
          <w:sz w:val="32"/>
          <w:szCs w:val="32"/>
        </w:rPr>
        <w:t>1303.75</w:t>
      </w:r>
      <w:r>
        <w:rPr>
          <w:rFonts w:eastAsia="仿宋_GB2312" w:hint="eastAsia"/>
          <w:bCs/>
          <w:sz w:val="32"/>
          <w:szCs w:val="32"/>
        </w:rPr>
        <w:t>万元，其中：一般公共预算财政拨款收入</w:t>
      </w:r>
      <w:r>
        <w:rPr>
          <w:rFonts w:eastAsia="仿宋_GB2312" w:hint="eastAsia"/>
          <w:bCs/>
          <w:sz w:val="32"/>
          <w:szCs w:val="32"/>
        </w:rPr>
        <w:t>1303.75</w:t>
      </w:r>
      <w:r>
        <w:rPr>
          <w:rFonts w:eastAsia="仿宋_GB2312" w:hint="eastAsia"/>
          <w:bCs/>
          <w:sz w:val="32"/>
          <w:szCs w:val="32"/>
        </w:rPr>
        <w:t>万元，占</w:t>
      </w:r>
      <w:r>
        <w:rPr>
          <w:rFonts w:eastAsia="仿宋_GB2312" w:hint="eastAsia"/>
          <w:bCs/>
          <w:sz w:val="32"/>
          <w:szCs w:val="32"/>
        </w:rPr>
        <w:t>100</w:t>
      </w:r>
      <w:r>
        <w:rPr>
          <w:rFonts w:eastAsia="仿宋_GB2312"/>
          <w:bCs/>
          <w:sz w:val="32"/>
          <w:szCs w:val="32"/>
        </w:rPr>
        <w:t>%</w:t>
      </w:r>
      <w:r>
        <w:rPr>
          <w:rFonts w:eastAsia="仿宋_GB2312" w:hint="eastAsia"/>
          <w:bCs/>
          <w:sz w:val="32"/>
          <w:szCs w:val="32"/>
        </w:rPr>
        <w:t>。</w:t>
      </w:r>
    </w:p>
    <w:p w:rsidR="00F66B33" w:rsidRDefault="00F66B33">
      <w:pPr>
        <w:pStyle w:val="a0"/>
        <w:spacing w:before="93"/>
      </w:pPr>
      <w:r>
        <w:rPr>
          <w:noProof/>
        </w:rPr>
        <w:drawing>
          <wp:inline distT="0" distB="0" distL="0" distR="0">
            <wp:extent cx="5276850" cy="2598345"/>
            <wp:effectExtent l="0" t="0" r="0" b="0"/>
            <wp:docPr id="5" name="Chart 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35645FD5-310D-4D7A-B2EA-BFBCDF4085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377EC" w:rsidRDefault="00F95364">
      <w:pPr>
        <w:pStyle w:val="a9"/>
        <w:numPr>
          <w:ilvl w:val="0"/>
          <w:numId w:val="1"/>
        </w:numPr>
        <w:spacing w:line="600" w:lineRule="exact"/>
        <w:ind w:firstLineChars="0"/>
        <w:outlineLvl w:val="1"/>
        <w:rPr>
          <w:rStyle w:val="2Char"/>
          <w:rFonts w:ascii="黑体" w:eastAsia="黑体" w:hAnsi="黑体"/>
          <w:b w:val="0"/>
        </w:rPr>
      </w:pPr>
      <w:bookmarkStart w:id="28" w:name="_Toc15377207"/>
      <w:bookmarkStart w:id="29" w:name="_Toc15396605"/>
      <w:bookmarkStart w:id="30" w:name="_Toc113284426"/>
      <w:r>
        <w:rPr>
          <w:rFonts w:ascii="黑体" w:eastAsia="黑体" w:hAnsi="黑体" w:hint="eastAsia"/>
          <w:sz w:val="32"/>
          <w:szCs w:val="32"/>
        </w:rPr>
        <w:lastRenderedPageBreak/>
        <w:t>支</w:t>
      </w:r>
      <w:r>
        <w:rPr>
          <w:rStyle w:val="2Char"/>
          <w:rFonts w:ascii="黑体" w:eastAsia="黑体" w:hAnsi="黑体" w:hint="eastAsia"/>
          <w:b w:val="0"/>
        </w:rPr>
        <w:t>出决算情况说明</w:t>
      </w:r>
      <w:bookmarkEnd w:id="28"/>
      <w:bookmarkEnd w:id="29"/>
      <w:bookmarkEnd w:id="30"/>
    </w:p>
    <w:p w:rsidR="00B377EC" w:rsidRDefault="00F95364">
      <w:pPr>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21</w:t>
      </w:r>
      <w:r>
        <w:rPr>
          <w:rFonts w:eastAsia="仿宋_GB2312" w:hint="eastAsia"/>
          <w:bCs/>
          <w:sz w:val="32"/>
          <w:szCs w:val="32"/>
        </w:rPr>
        <w:t>年本年支出合计</w:t>
      </w:r>
      <w:r>
        <w:rPr>
          <w:rFonts w:eastAsia="仿宋_GB2312" w:hint="eastAsia"/>
          <w:bCs/>
          <w:sz w:val="32"/>
          <w:szCs w:val="32"/>
        </w:rPr>
        <w:t>1232.49</w:t>
      </w:r>
      <w:r>
        <w:rPr>
          <w:rFonts w:eastAsia="仿宋_GB2312" w:hint="eastAsia"/>
          <w:bCs/>
          <w:sz w:val="32"/>
          <w:szCs w:val="32"/>
        </w:rPr>
        <w:t>万元，其中：基本支出</w:t>
      </w:r>
      <w:r>
        <w:rPr>
          <w:rFonts w:eastAsia="仿宋_GB2312" w:hint="eastAsia"/>
          <w:bCs/>
          <w:sz w:val="32"/>
          <w:szCs w:val="32"/>
        </w:rPr>
        <w:t>932.32</w:t>
      </w:r>
      <w:r>
        <w:rPr>
          <w:rFonts w:eastAsia="仿宋_GB2312" w:hint="eastAsia"/>
          <w:bCs/>
          <w:sz w:val="32"/>
          <w:szCs w:val="32"/>
        </w:rPr>
        <w:t>万元，占</w:t>
      </w:r>
      <w:r>
        <w:rPr>
          <w:rFonts w:eastAsia="仿宋_GB2312" w:hint="eastAsia"/>
          <w:bCs/>
          <w:sz w:val="32"/>
          <w:szCs w:val="32"/>
        </w:rPr>
        <w:t>75.65</w:t>
      </w:r>
      <w:r>
        <w:rPr>
          <w:rFonts w:eastAsia="仿宋_GB2312"/>
          <w:bCs/>
          <w:sz w:val="32"/>
          <w:szCs w:val="32"/>
        </w:rPr>
        <w:t>%</w:t>
      </w:r>
      <w:r>
        <w:rPr>
          <w:rFonts w:eastAsia="仿宋_GB2312" w:hint="eastAsia"/>
          <w:bCs/>
          <w:sz w:val="32"/>
          <w:szCs w:val="32"/>
        </w:rPr>
        <w:t>；项目支出</w:t>
      </w:r>
      <w:r>
        <w:rPr>
          <w:rFonts w:eastAsia="仿宋_GB2312" w:hint="eastAsia"/>
          <w:bCs/>
          <w:sz w:val="32"/>
          <w:szCs w:val="32"/>
        </w:rPr>
        <w:t>300.17</w:t>
      </w:r>
      <w:r>
        <w:rPr>
          <w:rFonts w:eastAsia="仿宋_GB2312" w:hint="eastAsia"/>
          <w:bCs/>
          <w:sz w:val="32"/>
          <w:szCs w:val="32"/>
        </w:rPr>
        <w:t>万元，占</w:t>
      </w:r>
      <w:r>
        <w:rPr>
          <w:rFonts w:eastAsia="仿宋_GB2312" w:hint="eastAsia"/>
          <w:bCs/>
          <w:sz w:val="32"/>
          <w:szCs w:val="32"/>
        </w:rPr>
        <w:t>24.35</w:t>
      </w:r>
      <w:r>
        <w:rPr>
          <w:rFonts w:eastAsia="仿宋_GB2312"/>
          <w:bCs/>
          <w:sz w:val="32"/>
          <w:szCs w:val="32"/>
        </w:rPr>
        <w:t>%</w:t>
      </w:r>
      <w:r>
        <w:rPr>
          <w:rFonts w:eastAsia="仿宋_GB2312" w:hint="eastAsia"/>
          <w:bCs/>
          <w:sz w:val="32"/>
          <w:szCs w:val="32"/>
        </w:rPr>
        <w:t>。</w:t>
      </w:r>
    </w:p>
    <w:p w:rsidR="00B377EC" w:rsidRDefault="00F95364">
      <w:pPr>
        <w:pStyle w:val="a0"/>
        <w:spacing w:before="93"/>
      </w:pPr>
      <w:r>
        <w:rPr>
          <w:noProof/>
        </w:rPr>
        <w:drawing>
          <wp:inline distT="0" distB="0" distL="0" distR="0">
            <wp:extent cx="5239385" cy="290957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377EC" w:rsidRDefault="00F95364">
      <w:pPr>
        <w:spacing w:line="600" w:lineRule="exact"/>
        <w:ind w:firstLineChars="200" w:firstLine="640"/>
        <w:outlineLvl w:val="1"/>
        <w:rPr>
          <w:rStyle w:val="2Char"/>
          <w:rFonts w:ascii="黑体" w:eastAsia="黑体" w:hAnsi="黑体"/>
          <w:b w:val="0"/>
        </w:rPr>
      </w:pPr>
      <w:bookmarkStart w:id="31" w:name="_Toc15377208"/>
      <w:bookmarkStart w:id="32" w:name="_Toc15396606"/>
      <w:bookmarkStart w:id="33" w:name="_Toc113284427"/>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31"/>
      <w:bookmarkEnd w:id="32"/>
      <w:bookmarkEnd w:id="33"/>
    </w:p>
    <w:p w:rsidR="00B377EC" w:rsidRDefault="00F95364">
      <w:pPr>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21</w:t>
      </w:r>
      <w:r>
        <w:rPr>
          <w:rFonts w:eastAsia="仿宋_GB2312" w:hint="eastAsia"/>
          <w:bCs/>
          <w:sz w:val="32"/>
          <w:szCs w:val="32"/>
        </w:rPr>
        <w:t>年财政拨款收、支总计</w:t>
      </w:r>
      <w:r w:rsidRPr="00AC105C">
        <w:rPr>
          <w:rFonts w:eastAsia="仿宋_GB2312" w:hint="eastAsia"/>
          <w:bCs/>
          <w:color w:val="000000" w:themeColor="text1"/>
          <w:sz w:val="32"/>
          <w:szCs w:val="32"/>
        </w:rPr>
        <w:t>130</w:t>
      </w:r>
      <w:r w:rsidR="008C7ACB" w:rsidRPr="00AC105C">
        <w:rPr>
          <w:rFonts w:eastAsia="仿宋_GB2312" w:hint="eastAsia"/>
          <w:bCs/>
          <w:color w:val="000000" w:themeColor="text1"/>
          <w:sz w:val="32"/>
          <w:szCs w:val="32"/>
        </w:rPr>
        <w:t>8.31</w:t>
      </w:r>
      <w:r w:rsidRPr="00AC105C">
        <w:rPr>
          <w:rFonts w:eastAsia="仿宋_GB2312" w:hint="eastAsia"/>
          <w:bCs/>
          <w:color w:val="000000" w:themeColor="text1"/>
          <w:sz w:val="32"/>
          <w:szCs w:val="32"/>
        </w:rPr>
        <w:t>万元。与</w:t>
      </w:r>
      <w:r w:rsidRPr="00AC105C">
        <w:rPr>
          <w:rFonts w:eastAsia="仿宋_GB2312"/>
          <w:bCs/>
          <w:color w:val="000000" w:themeColor="text1"/>
          <w:sz w:val="32"/>
          <w:szCs w:val="32"/>
        </w:rPr>
        <w:t>20</w:t>
      </w:r>
      <w:r w:rsidRPr="00AC105C">
        <w:rPr>
          <w:rFonts w:eastAsia="仿宋_GB2312" w:hint="eastAsia"/>
          <w:bCs/>
          <w:color w:val="000000" w:themeColor="text1"/>
          <w:sz w:val="32"/>
          <w:szCs w:val="32"/>
        </w:rPr>
        <w:t>20</w:t>
      </w:r>
      <w:r w:rsidRPr="00AC105C">
        <w:rPr>
          <w:rFonts w:eastAsia="仿宋_GB2312" w:hint="eastAsia"/>
          <w:bCs/>
          <w:color w:val="000000" w:themeColor="text1"/>
          <w:sz w:val="32"/>
          <w:szCs w:val="32"/>
        </w:rPr>
        <w:t>年相比，财政拨款收、支总计各增加</w:t>
      </w:r>
      <w:r w:rsidR="008C7ACB" w:rsidRPr="00AC105C">
        <w:rPr>
          <w:rFonts w:eastAsia="仿宋_GB2312" w:hint="eastAsia"/>
          <w:bCs/>
          <w:color w:val="000000" w:themeColor="text1"/>
          <w:sz w:val="32"/>
          <w:szCs w:val="32"/>
        </w:rPr>
        <w:t>324.31</w:t>
      </w:r>
      <w:r w:rsidRPr="00AC105C">
        <w:rPr>
          <w:rFonts w:eastAsia="仿宋_GB2312" w:hint="eastAsia"/>
          <w:bCs/>
          <w:color w:val="000000" w:themeColor="text1"/>
          <w:sz w:val="32"/>
          <w:szCs w:val="32"/>
        </w:rPr>
        <w:t>万元，增长</w:t>
      </w:r>
      <w:r w:rsidRPr="00AC105C">
        <w:rPr>
          <w:rFonts w:eastAsia="仿宋_GB2312" w:hint="eastAsia"/>
          <w:bCs/>
          <w:color w:val="000000" w:themeColor="text1"/>
          <w:sz w:val="32"/>
          <w:szCs w:val="32"/>
        </w:rPr>
        <w:t>32.</w:t>
      </w:r>
      <w:r w:rsidR="008C7ACB" w:rsidRPr="00AC105C">
        <w:rPr>
          <w:rFonts w:eastAsia="仿宋_GB2312" w:hint="eastAsia"/>
          <w:bCs/>
          <w:color w:val="000000" w:themeColor="text1"/>
          <w:sz w:val="32"/>
          <w:szCs w:val="32"/>
        </w:rPr>
        <w:t>96</w:t>
      </w:r>
      <w:r w:rsidRPr="00AC105C">
        <w:rPr>
          <w:rFonts w:eastAsia="仿宋_GB2312"/>
          <w:bCs/>
          <w:color w:val="000000" w:themeColor="text1"/>
          <w:sz w:val="32"/>
          <w:szCs w:val="32"/>
        </w:rPr>
        <w:t>%</w:t>
      </w:r>
      <w:r w:rsidRPr="00AC105C">
        <w:rPr>
          <w:rFonts w:eastAsia="仿宋_GB2312" w:hint="eastAsia"/>
          <w:bCs/>
          <w:color w:val="000000" w:themeColor="text1"/>
          <w:sz w:val="32"/>
          <w:szCs w:val="32"/>
        </w:rPr>
        <w:t>。</w:t>
      </w:r>
      <w:r>
        <w:rPr>
          <w:rFonts w:eastAsia="仿宋_GB2312" w:hint="eastAsia"/>
          <w:bCs/>
          <w:sz w:val="32"/>
          <w:szCs w:val="32"/>
        </w:rPr>
        <w:t>主要变动原因是人员经费增加和省级预算内基本建设资金新增。</w:t>
      </w:r>
    </w:p>
    <w:p w:rsidR="00605B4D" w:rsidRDefault="00605B4D">
      <w:pPr>
        <w:pStyle w:val="a0"/>
        <w:spacing w:before="93"/>
      </w:pPr>
      <w:r>
        <w:rPr>
          <w:noProof/>
        </w:rPr>
        <w:drawing>
          <wp:inline distT="0" distB="0" distL="0" distR="0">
            <wp:extent cx="5200650" cy="2616451"/>
            <wp:effectExtent l="0" t="0" r="0" b="0"/>
            <wp:docPr id="4" name="Chart 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D9BBCD7-6386-4097-B6E6-D70479771D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377EC" w:rsidRDefault="00F95364">
      <w:pPr>
        <w:spacing w:line="600" w:lineRule="exact"/>
        <w:ind w:firstLineChars="200" w:firstLine="640"/>
        <w:outlineLvl w:val="1"/>
        <w:rPr>
          <w:rStyle w:val="2Char"/>
          <w:rFonts w:ascii="黑体" w:eastAsia="黑体" w:hAnsi="黑体"/>
          <w:b w:val="0"/>
        </w:rPr>
      </w:pPr>
      <w:bookmarkStart w:id="34" w:name="_Toc15377209"/>
      <w:bookmarkStart w:id="35" w:name="_Toc15396607"/>
      <w:bookmarkStart w:id="36" w:name="_Toc113284428"/>
      <w:r>
        <w:rPr>
          <w:rFonts w:ascii="黑体" w:eastAsia="黑体" w:hAnsi="黑体" w:hint="eastAsia"/>
          <w:sz w:val="32"/>
          <w:szCs w:val="32"/>
        </w:rPr>
        <w:lastRenderedPageBreak/>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34"/>
      <w:bookmarkEnd w:id="35"/>
      <w:bookmarkEnd w:id="36"/>
    </w:p>
    <w:p w:rsidR="00B377EC" w:rsidRDefault="00F95364">
      <w:pPr>
        <w:spacing w:line="600" w:lineRule="exact"/>
        <w:ind w:firstLineChars="200" w:firstLine="640"/>
        <w:outlineLvl w:val="2"/>
        <w:rPr>
          <w:rFonts w:ascii="楷体" w:eastAsia="楷体" w:hAnsi="楷体" w:cs="楷体"/>
          <w:bCs/>
          <w:sz w:val="32"/>
          <w:szCs w:val="32"/>
        </w:rPr>
      </w:pPr>
      <w:bookmarkStart w:id="37" w:name="_Toc15377210"/>
      <w:bookmarkStart w:id="38" w:name="_Toc113284429"/>
      <w:r>
        <w:rPr>
          <w:rFonts w:ascii="楷体" w:eastAsia="楷体" w:hAnsi="楷体" w:cs="楷体" w:hint="eastAsia"/>
          <w:bCs/>
          <w:sz w:val="32"/>
          <w:szCs w:val="32"/>
        </w:rPr>
        <w:t>（一）一般公共预算财政拨款支出决算总体情况</w:t>
      </w:r>
      <w:bookmarkEnd w:id="37"/>
      <w:bookmarkEnd w:id="38"/>
    </w:p>
    <w:p w:rsidR="00B377EC" w:rsidRDefault="00F95364">
      <w:pPr>
        <w:spacing w:line="600" w:lineRule="exact"/>
        <w:ind w:firstLineChars="200" w:firstLine="640"/>
        <w:rPr>
          <w:rFonts w:ascii="仿宋" w:eastAsia="仿宋" w:hAnsi="仿宋"/>
          <w:sz w:val="32"/>
          <w:szCs w:val="32"/>
        </w:rPr>
      </w:pPr>
      <w:r>
        <w:rPr>
          <w:rFonts w:eastAsia="仿宋_GB2312"/>
          <w:bCs/>
          <w:sz w:val="32"/>
          <w:szCs w:val="32"/>
        </w:rPr>
        <w:t>20</w:t>
      </w:r>
      <w:r>
        <w:rPr>
          <w:rFonts w:eastAsia="仿宋_GB2312" w:hint="eastAsia"/>
          <w:bCs/>
          <w:sz w:val="32"/>
          <w:szCs w:val="32"/>
        </w:rPr>
        <w:t>21</w:t>
      </w:r>
      <w:r>
        <w:rPr>
          <w:rFonts w:eastAsia="仿宋_GB2312" w:hint="eastAsia"/>
          <w:bCs/>
          <w:sz w:val="32"/>
          <w:szCs w:val="32"/>
        </w:rPr>
        <w:t>年一般公共预算财政拨款支出</w:t>
      </w:r>
      <w:r>
        <w:rPr>
          <w:rFonts w:eastAsia="仿宋_GB2312" w:hint="eastAsia"/>
          <w:bCs/>
          <w:sz w:val="32"/>
          <w:szCs w:val="32"/>
        </w:rPr>
        <w:t>1232.49</w:t>
      </w:r>
      <w:r>
        <w:rPr>
          <w:rFonts w:eastAsia="仿宋_GB2312" w:hint="eastAsia"/>
          <w:bCs/>
          <w:sz w:val="32"/>
          <w:szCs w:val="32"/>
        </w:rPr>
        <w:t>万元，占本年支出合计的</w:t>
      </w:r>
      <w:r>
        <w:rPr>
          <w:rFonts w:eastAsia="仿宋_GB2312" w:hint="eastAsia"/>
          <w:bCs/>
          <w:sz w:val="32"/>
          <w:szCs w:val="32"/>
        </w:rPr>
        <w:t>100</w:t>
      </w:r>
      <w:r>
        <w:rPr>
          <w:rFonts w:eastAsia="仿宋_GB2312"/>
          <w:bCs/>
          <w:sz w:val="32"/>
          <w:szCs w:val="32"/>
        </w:rPr>
        <w:t>%</w:t>
      </w:r>
      <w:r>
        <w:rPr>
          <w:rFonts w:eastAsia="仿宋_GB2312" w:hint="eastAsia"/>
          <w:bCs/>
          <w:sz w:val="32"/>
          <w:szCs w:val="32"/>
        </w:rPr>
        <w:t>。与</w:t>
      </w:r>
      <w:r>
        <w:rPr>
          <w:rFonts w:eastAsia="仿宋_GB2312"/>
          <w:bCs/>
          <w:sz w:val="32"/>
          <w:szCs w:val="32"/>
        </w:rPr>
        <w:t>20</w:t>
      </w:r>
      <w:r>
        <w:rPr>
          <w:rFonts w:eastAsia="仿宋_GB2312" w:hint="eastAsia"/>
          <w:bCs/>
          <w:sz w:val="32"/>
          <w:szCs w:val="32"/>
        </w:rPr>
        <w:t>20</w:t>
      </w:r>
      <w:r>
        <w:rPr>
          <w:rFonts w:eastAsia="仿宋_GB2312" w:hint="eastAsia"/>
          <w:bCs/>
          <w:sz w:val="32"/>
          <w:szCs w:val="32"/>
        </w:rPr>
        <w:t>年相比，一般公共预算财政拨款支出增加</w:t>
      </w:r>
      <w:r>
        <w:rPr>
          <w:rFonts w:eastAsia="仿宋_GB2312" w:hint="eastAsia"/>
          <w:bCs/>
          <w:sz w:val="32"/>
          <w:szCs w:val="32"/>
        </w:rPr>
        <w:t>377.91</w:t>
      </w:r>
      <w:r>
        <w:rPr>
          <w:rFonts w:eastAsia="仿宋_GB2312" w:hint="eastAsia"/>
          <w:bCs/>
          <w:sz w:val="32"/>
          <w:szCs w:val="32"/>
        </w:rPr>
        <w:t>万元，增长</w:t>
      </w:r>
      <w:r>
        <w:rPr>
          <w:rFonts w:eastAsia="仿宋_GB2312" w:hint="eastAsia"/>
          <w:bCs/>
          <w:sz w:val="32"/>
          <w:szCs w:val="32"/>
        </w:rPr>
        <w:t>44.22</w:t>
      </w:r>
      <w:r>
        <w:rPr>
          <w:rFonts w:eastAsia="仿宋_GB2312"/>
          <w:bCs/>
          <w:sz w:val="32"/>
          <w:szCs w:val="32"/>
        </w:rPr>
        <w:t>%</w:t>
      </w:r>
      <w:r>
        <w:rPr>
          <w:rFonts w:eastAsia="仿宋_GB2312" w:hint="eastAsia"/>
          <w:bCs/>
          <w:sz w:val="32"/>
          <w:szCs w:val="32"/>
        </w:rPr>
        <w:t>。主要变动原因是一是增加了人员经费的开支，二是增加了办公楼维修维护专项支出和办公设备购置开支，三是增加了农民工保障工作经费和招商引资业务经费等开支。</w:t>
      </w:r>
    </w:p>
    <w:p w:rsidR="00B377EC" w:rsidRDefault="00F95364">
      <w:pPr>
        <w:pStyle w:val="a0"/>
        <w:spacing w:before="93"/>
      </w:pPr>
      <w:r>
        <w:rPr>
          <w:noProof/>
        </w:rPr>
        <w:drawing>
          <wp:inline distT="0" distB="0" distL="0" distR="0">
            <wp:extent cx="520065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377EC" w:rsidRDefault="00F95364">
      <w:pPr>
        <w:spacing w:line="600" w:lineRule="exact"/>
        <w:ind w:firstLineChars="200" w:firstLine="640"/>
        <w:outlineLvl w:val="2"/>
        <w:rPr>
          <w:rFonts w:ascii="楷体" w:eastAsia="楷体" w:hAnsi="楷体" w:cs="楷体"/>
          <w:bCs/>
          <w:sz w:val="32"/>
          <w:szCs w:val="32"/>
        </w:rPr>
      </w:pPr>
      <w:bookmarkStart w:id="39" w:name="_Toc15377211"/>
      <w:bookmarkStart w:id="40" w:name="_Toc113284430"/>
      <w:r>
        <w:rPr>
          <w:rFonts w:ascii="楷体" w:eastAsia="楷体" w:hAnsi="楷体" w:cs="楷体" w:hint="eastAsia"/>
          <w:bCs/>
          <w:sz w:val="32"/>
          <w:szCs w:val="32"/>
        </w:rPr>
        <w:t>（二）一般公共预算财政拨款支出决算结构情况</w:t>
      </w:r>
      <w:bookmarkEnd w:id="39"/>
      <w:bookmarkEnd w:id="40"/>
    </w:p>
    <w:p w:rsidR="00B377EC" w:rsidRDefault="00F95364">
      <w:pPr>
        <w:spacing w:line="600" w:lineRule="exact"/>
        <w:ind w:firstLine="640"/>
        <w:rPr>
          <w:rFonts w:eastAsia="仿宋_GB2312"/>
          <w:b/>
          <w:sz w:val="32"/>
          <w:szCs w:val="32"/>
        </w:rPr>
      </w:pPr>
      <w:r>
        <w:rPr>
          <w:rFonts w:eastAsia="仿宋_GB2312"/>
          <w:sz w:val="32"/>
          <w:szCs w:val="32"/>
        </w:rPr>
        <w:t>2021</w:t>
      </w:r>
      <w:r>
        <w:rPr>
          <w:rFonts w:eastAsia="仿宋_GB2312"/>
          <w:sz w:val="32"/>
          <w:szCs w:val="32"/>
        </w:rPr>
        <w:t>年一般公共预算财政拨款支出</w:t>
      </w:r>
      <w:r>
        <w:rPr>
          <w:rFonts w:eastAsia="仿宋_GB2312"/>
          <w:sz w:val="32"/>
          <w:szCs w:val="32"/>
        </w:rPr>
        <w:t>1232.49</w:t>
      </w:r>
      <w:r>
        <w:rPr>
          <w:rFonts w:eastAsia="仿宋_GB2312"/>
          <w:sz w:val="32"/>
          <w:szCs w:val="32"/>
        </w:rPr>
        <w:t>万元，主要用于以下方面</w:t>
      </w:r>
      <w:r>
        <w:rPr>
          <w:rFonts w:eastAsia="仿宋_GB2312"/>
          <w:sz w:val="32"/>
          <w:szCs w:val="32"/>
        </w:rPr>
        <w:t>:</w:t>
      </w:r>
      <w:r>
        <w:rPr>
          <w:rFonts w:eastAsia="仿宋_GB2312"/>
          <w:b/>
          <w:sz w:val="32"/>
          <w:szCs w:val="32"/>
        </w:rPr>
        <w:t>一般公共服务（类）</w:t>
      </w:r>
      <w:r>
        <w:rPr>
          <w:rFonts w:eastAsia="仿宋_GB2312"/>
          <w:sz w:val="32"/>
          <w:szCs w:val="32"/>
        </w:rPr>
        <w:t>支出</w:t>
      </w:r>
      <w:r>
        <w:rPr>
          <w:rFonts w:eastAsia="仿宋_GB2312"/>
          <w:sz w:val="32"/>
          <w:szCs w:val="32"/>
        </w:rPr>
        <w:t>943.04</w:t>
      </w:r>
      <w:r>
        <w:rPr>
          <w:rFonts w:eastAsia="仿宋_GB2312"/>
          <w:sz w:val="32"/>
          <w:szCs w:val="32"/>
        </w:rPr>
        <w:t>万元，占</w:t>
      </w:r>
      <w:r>
        <w:rPr>
          <w:rFonts w:eastAsia="仿宋_GB2312"/>
          <w:sz w:val="32"/>
          <w:szCs w:val="32"/>
        </w:rPr>
        <w:t>76.52%</w:t>
      </w:r>
      <w:r>
        <w:rPr>
          <w:rFonts w:eastAsia="仿宋_GB2312"/>
          <w:sz w:val="32"/>
          <w:szCs w:val="32"/>
        </w:rPr>
        <w:t>；</w:t>
      </w:r>
      <w:r>
        <w:rPr>
          <w:rFonts w:eastAsia="仿宋_GB2312"/>
          <w:b/>
          <w:sz w:val="32"/>
          <w:szCs w:val="32"/>
        </w:rPr>
        <w:t>教育支出（类）</w:t>
      </w:r>
      <w:r>
        <w:rPr>
          <w:rFonts w:eastAsia="仿宋_GB2312"/>
          <w:sz w:val="32"/>
          <w:szCs w:val="32"/>
        </w:rPr>
        <w:t>4</w:t>
      </w:r>
      <w:r>
        <w:rPr>
          <w:rFonts w:eastAsia="仿宋_GB2312"/>
          <w:sz w:val="32"/>
          <w:szCs w:val="32"/>
        </w:rPr>
        <w:t>万元，占</w:t>
      </w:r>
      <w:r>
        <w:rPr>
          <w:rFonts w:eastAsia="仿宋_GB2312"/>
          <w:sz w:val="32"/>
          <w:szCs w:val="32"/>
        </w:rPr>
        <w:t>0.32%</w:t>
      </w:r>
      <w:r>
        <w:rPr>
          <w:rFonts w:eastAsia="仿宋_GB2312"/>
          <w:sz w:val="32"/>
          <w:szCs w:val="32"/>
        </w:rPr>
        <w:t>；</w:t>
      </w:r>
      <w:r>
        <w:rPr>
          <w:rFonts w:eastAsia="仿宋_GB2312"/>
          <w:b/>
          <w:sz w:val="32"/>
          <w:szCs w:val="32"/>
        </w:rPr>
        <w:t>社会保障和就业（类）</w:t>
      </w:r>
      <w:r>
        <w:rPr>
          <w:rFonts w:eastAsia="仿宋_GB2312"/>
          <w:sz w:val="32"/>
          <w:szCs w:val="32"/>
        </w:rPr>
        <w:t>支出</w:t>
      </w:r>
      <w:r>
        <w:rPr>
          <w:rFonts w:eastAsia="仿宋_GB2312"/>
          <w:sz w:val="32"/>
          <w:szCs w:val="32"/>
        </w:rPr>
        <w:t>194.49</w:t>
      </w:r>
      <w:r>
        <w:rPr>
          <w:rFonts w:eastAsia="仿宋_GB2312"/>
          <w:sz w:val="32"/>
          <w:szCs w:val="32"/>
        </w:rPr>
        <w:t>万元，占</w:t>
      </w:r>
      <w:r>
        <w:rPr>
          <w:rFonts w:eastAsia="仿宋_GB2312"/>
          <w:sz w:val="32"/>
          <w:szCs w:val="32"/>
        </w:rPr>
        <w:t>15.78%</w:t>
      </w:r>
      <w:r>
        <w:rPr>
          <w:rFonts w:eastAsia="仿宋_GB2312"/>
          <w:sz w:val="32"/>
          <w:szCs w:val="32"/>
        </w:rPr>
        <w:t>；</w:t>
      </w:r>
      <w:r>
        <w:rPr>
          <w:rFonts w:eastAsia="仿宋_GB2312"/>
          <w:b/>
          <w:bCs/>
          <w:sz w:val="32"/>
          <w:szCs w:val="32"/>
        </w:rPr>
        <w:t>卫生健康支出</w:t>
      </w:r>
      <w:r>
        <w:rPr>
          <w:rFonts w:eastAsia="仿宋_GB2312"/>
          <w:sz w:val="32"/>
          <w:szCs w:val="32"/>
        </w:rPr>
        <w:t>41.55</w:t>
      </w:r>
      <w:r>
        <w:rPr>
          <w:rFonts w:eastAsia="仿宋_GB2312"/>
          <w:sz w:val="32"/>
          <w:szCs w:val="32"/>
        </w:rPr>
        <w:t>万元，占</w:t>
      </w:r>
      <w:r>
        <w:rPr>
          <w:rFonts w:eastAsia="仿宋_GB2312"/>
          <w:sz w:val="32"/>
          <w:szCs w:val="32"/>
        </w:rPr>
        <w:t>3.37%</w:t>
      </w:r>
      <w:r>
        <w:rPr>
          <w:rFonts w:eastAsia="仿宋_GB2312"/>
          <w:sz w:val="32"/>
          <w:szCs w:val="32"/>
        </w:rPr>
        <w:t>；住房保障支出</w:t>
      </w:r>
      <w:r>
        <w:rPr>
          <w:rFonts w:eastAsia="仿宋_GB2312"/>
          <w:sz w:val="32"/>
          <w:szCs w:val="32"/>
        </w:rPr>
        <w:t>49.41</w:t>
      </w:r>
      <w:r>
        <w:rPr>
          <w:rFonts w:eastAsia="仿宋_GB2312"/>
          <w:sz w:val="32"/>
          <w:szCs w:val="32"/>
        </w:rPr>
        <w:t>万元，占</w:t>
      </w:r>
      <w:r>
        <w:rPr>
          <w:rFonts w:eastAsia="仿宋_GB2312"/>
          <w:sz w:val="32"/>
          <w:szCs w:val="32"/>
        </w:rPr>
        <w:t>4.01%</w:t>
      </w:r>
      <w:r>
        <w:rPr>
          <w:rFonts w:eastAsia="仿宋_GB2312"/>
          <w:sz w:val="32"/>
          <w:szCs w:val="32"/>
        </w:rPr>
        <w:t>。</w:t>
      </w:r>
    </w:p>
    <w:p w:rsidR="00B377EC" w:rsidRDefault="00F95364">
      <w:pPr>
        <w:pStyle w:val="a0"/>
        <w:spacing w:before="93"/>
      </w:pPr>
      <w:r>
        <w:rPr>
          <w:noProof/>
        </w:rPr>
        <w:lastRenderedPageBreak/>
        <w:drawing>
          <wp:inline distT="0" distB="0" distL="0" distR="0">
            <wp:extent cx="5215890" cy="2790825"/>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377EC" w:rsidRDefault="00F95364">
      <w:pPr>
        <w:spacing w:line="600" w:lineRule="exact"/>
        <w:ind w:firstLineChars="200" w:firstLine="640"/>
        <w:outlineLvl w:val="2"/>
        <w:rPr>
          <w:rFonts w:ascii="楷体" w:eastAsia="楷体" w:hAnsi="楷体" w:cs="楷体"/>
          <w:bCs/>
          <w:sz w:val="32"/>
          <w:szCs w:val="32"/>
        </w:rPr>
      </w:pPr>
      <w:bookmarkStart w:id="41" w:name="_Toc15377212"/>
      <w:bookmarkStart w:id="42" w:name="_Toc113284431"/>
      <w:r>
        <w:rPr>
          <w:rFonts w:ascii="楷体" w:eastAsia="楷体" w:hAnsi="楷体" w:cs="楷体" w:hint="eastAsia"/>
          <w:bCs/>
          <w:sz w:val="32"/>
          <w:szCs w:val="32"/>
        </w:rPr>
        <w:t>（三）一般公共预算财政拨款支出决算具体情况</w:t>
      </w:r>
      <w:bookmarkEnd w:id="41"/>
      <w:bookmarkEnd w:id="42"/>
    </w:p>
    <w:p w:rsidR="00B377EC" w:rsidRDefault="00F95364" w:rsidP="0074370E">
      <w:pPr>
        <w:ind w:firstLine="420"/>
        <w:rPr>
          <w:rFonts w:eastAsia="仿宋_GB2312"/>
          <w:sz w:val="32"/>
          <w:szCs w:val="32"/>
        </w:rPr>
      </w:pPr>
      <w:bookmarkStart w:id="43" w:name="_Toc15377213"/>
      <w:bookmarkStart w:id="44" w:name="_Toc15377444"/>
      <w:bookmarkStart w:id="45" w:name="_Toc15378460"/>
      <w:r>
        <w:rPr>
          <w:rFonts w:eastAsia="仿宋_GB2312"/>
          <w:b/>
          <w:sz w:val="32"/>
          <w:szCs w:val="32"/>
        </w:rPr>
        <w:t>2021</w:t>
      </w:r>
      <w:r>
        <w:rPr>
          <w:rFonts w:eastAsia="仿宋_GB2312"/>
          <w:b/>
          <w:sz w:val="32"/>
          <w:szCs w:val="32"/>
        </w:rPr>
        <w:t>年一般公共预算支出决算数为</w:t>
      </w:r>
      <w:r>
        <w:rPr>
          <w:rFonts w:eastAsia="仿宋_GB2312"/>
          <w:b/>
          <w:sz w:val="32"/>
          <w:szCs w:val="32"/>
        </w:rPr>
        <w:t>1232.49</w:t>
      </w:r>
      <w:r w:rsidR="009F2448">
        <w:rPr>
          <w:rFonts w:eastAsia="仿宋_GB2312"/>
          <w:b/>
          <w:sz w:val="32"/>
          <w:szCs w:val="32"/>
        </w:rPr>
        <w:t>万元</w:t>
      </w:r>
      <w:r>
        <w:rPr>
          <w:rFonts w:eastAsia="仿宋_GB2312"/>
          <w:sz w:val="32"/>
          <w:szCs w:val="32"/>
        </w:rPr>
        <w:t>，</w:t>
      </w:r>
      <w:r>
        <w:rPr>
          <w:rStyle w:val="a7"/>
          <w:rFonts w:eastAsia="仿宋_GB2312"/>
          <w:bCs/>
          <w:sz w:val="32"/>
          <w:szCs w:val="32"/>
        </w:rPr>
        <w:t>完成预算</w:t>
      </w:r>
      <w:r>
        <w:rPr>
          <w:rStyle w:val="a7"/>
          <w:rFonts w:eastAsia="仿宋_GB2312"/>
          <w:bCs/>
          <w:sz w:val="32"/>
          <w:szCs w:val="32"/>
        </w:rPr>
        <w:t>94.53%</w:t>
      </w:r>
      <w:r>
        <w:rPr>
          <w:rStyle w:val="a7"/>
          <w:rFonts w:eastAsia="仿宋_GB2312"/>
          <w:bCs/>
          <w:sz w:val="32"/>
          <w:szCs w:val="32"/>
        </w:rPr>
        <w:t>。其中：</w:t>
      </w:r>
      <w:bookmarkEnd w:id="43"/>
      <w:bookmarkEnd w:id="44"/>
      <w:bookmarkEnd w:id="45"/>
    </w:p>
    <w:p w:rsidR="00B377EC" w:rsidRDefault="00F95364" w:rsidP="00D74874">
      <w:pPr>
        <w:spacing w:line="600" w:lineRule="exact"/>
        <w:ind w:firstLineChars="200" w:firstLine="640"/>
        <w:rPr>
          <w:rFonts w:eastAsia="仿宋_GB2312"/>
          <w:sz w:val="32"/>
          <w:szCs w:val="32"/>
        </w:rPr>
      </w:pPr>
      <w:r>
        <w:rPr>
          <w:rStyle w:val="a7"/>
          <w:rFonts w:eastAsia="仿宋_GB2312"/>
          <w:bCs/>
          <w:sz w:val="32"/>
          <w:szCs w:val="32"/>
        </w:rPr>
        <w:t>1.</w:t>
      </w:r>
      <w:r>
        <w:rPr>
          <w:rStyle w:val="a7"/>
          <w:rFonts w:eastAsia="仿宋_GB2312"/>
          <w:bCs/>
          <w:sz w:val="32"/>
          <w:szCs w:val="32"/>
        </w:rPr>
        <w:t>一般公共服务（类）商贸事务（款）行政运行（项）</w:t>
      </w:r>
      <w:r>
        <w:rPr>
          <w:rStyle w:val="a7"/>
          <w:rFonts w:eastAsia="仿宋_GB2312"/>
          <w:bCs/>
          <w:sz w:val="32"/>
          <w:szCs w:val="32"/>
        </w:rPr>
        <w:t>:</w:t>
      </w:r>
      <w:r>
        <w:rPr>
          <w:rFonts w:eastAsia="仿宋_GB2312"/>
          <w:sz w:val="32"/>
          <w:szCs w:val="32"/>
        </w:rPr>
        <w:t>支出决算为</w:t>
      </w:r>
      <w:r>
        <w:rPr>
          <w:rFonts w:eastAsia="仿宋_GB2312"/>
          <w:sz w:val="32"/>
          <w:szCs w:val="32"/>
        </w:rPr>
        <w:t>568.25</w:t>
      </w:r>
      <w:r>
        <w:rPr>
          <w:rFonts w:eastAsia="仿宋_GB2312"/>
          <w:sz w:val="32"/>
          <w:szCs w:val="32"/>
        </w:rPr>
        <w:t>万元，完成预算</w:t>
      </w:r>
      <w:r>
        <w:rPr>
          <w:rFonts w:eastAsia="仿宋_GB2312"/>
          <w:sz w:val="32"/>
          <w:szCs w:val="32"/>
        </w:rPr>
        <w:t>89.17%</w:t>
      </w:r>
      <w:r>
        <w:rPr>
          <w:rFonts w:eastAsia="仿宋_GB2312"/>
          <w:sz w:val="32"/>
          <w:szCs w:val="32"/>
        </w:rPr>
        <w:t>，决算数小于预算数的主要原因是厉行节约压减一般性事务支出。</w:t>
      </w:r>
    </w:p>
    <w:p w:rsidR="00B377EC" w:rsidRDefault="00F95364" w:rsidP="00D74874">
      <w:pPr>
        <w:spacing w:line="600" w:lineRule="exact"/>
        <w:ind w:firstLineChars="200" w:firstLine="640"/>
        <w:rPr>
          <w:rFonts w:eastAsia="仿宋_GB2312"/>
          <w:b/>
          <w:sz w:val="32"/>
          <w:szCs w:val="32"/>
        </w:rPr>
      </w:pPr>
      <w:r>
        <w:rPr>
          <w:rStyle w:val="a7"/>
          <w:rFonts w:eastAsia="仿宋_GB2312"/>
          <w:bCs/>
          <w:sz w:val="32"/>
          <w:szCs w:val="32"/>
        </w:rPr>
        <w:t>2.</w:t>
      </w:r>
      <w:r>
        <w:rPr>
          <w:rStyle w:val="a7"/>
          <w:rFonts w:eastAsia="仿宋_GB2312"/>
          <w:bCs/>
          <w:sz w:val="32"/>
          <w:szCs w:val="32"/>
        </w:rPr>
        <w:t>教育（类）教育支出（款）培训支出（项）</w:t>
      </w:r>
      <w:r>
        <w:rPr>
          <w:rStyle w:val="a7"/>
          <w:rFonts w:eastAsia="仿宋_GB2312"/>
          <w:bCs/>
          <w:sz w:val="32"/>
          <w:szCs w:val="32"/>
        </w:rPr>
        <w:t>:</w:t>
      </w:r>
      <w:r>
        <w:rPr>
          <w:rStyle w:val="a7"/>
          <w:rFonts w:eastAsia="仿宋_GB2312"/>
          <w:b w:val="0"/>
          <w:bCs/>
          <w:sz w:val="32"/>
          <w:szCs w:val="32"/>
        </w:rPr>
        <w:t>支出决算为</w:t>
      </w:r>
      <w:r>
        <w:rPr>
          <w:rStyle w:val="a7"/>
          <w:rFonts w:eastAsia="仿宋_GB2312"/>
          <w:b w:val="0"/>
          <w:bCs/>
          <w:sz w:val="32"/>
          <w:szCs w:val="32"/>
        </w:rPr>
        <w:t>4</w:t>
      </w:r>
      <w:r>
        <w:rPr>
          <w:rStyle w:val="a7"/>
          <w:rFonts w:eastAsia="仿宋_GB2312"/>
          <w:b w:val="0"/>
          <w:bCs/>
          <w:sz w:val="32"/>
          <w:szCs w:val="32"/>
        </w:rPr>
        <w:t>万元，完成预算</w:t>
      </w:r>
      <w:r>
        <w:rPr>
          <w:rStyle w:val="a7"/>
          <w:rFonts w:eastAsia="仿宋_GB2312"/>
          <w:b w:val="0"/>
          <w:bCs/>
          <w:sz w:val="32"/>
          <w:szCs w:val="32"/>
        </w:rPr>
        <w:t>100%</w:t>
      </w:r>
      <w:r>
        <w:rPr>
          <w:rStyle w:val="a7"/>
          <w:rFonts w:eastAsia="仿宋_GB2312"/>
          <w:b w:val="0"/>
          <w:bCs/>
          <w:sz w:val="32"/>
          <w:szCs w:val="32"/>
        </w:rPr>
        <w:t>，决算数等于预算数。</w:t>
      </w:r>
    </w:p>
    <w:p w:rsidR="00B377EC" w:rsidRDefault="00F95364" w:rsidP="00D74874">
      <w:pPr>
        <w:spacing w:line="600" w:lineRule="exact"/>
        <w:ind w:firstLineChars="200" w:firstLine="640"/>
        <w:rPr>
          <w:rFonts w:eastAsia="仿宋_GB2312"/>
          <w:b/>
          <w:sz w:val="32"/>
          <w:szCs w:val="32"/>
        </w:rPr>
      </w:pPr>
      <w:r>
        <w:rPr>
          <w:rStyle w:val="a7"/>
          <w:rFonts w:eastAsia="仿宋_GB2312"/>
          <w:bCs/>
          <w:sz w:val="32"/>
          <w:szCs w:val="32"/>
        </w:rPr>
        <w:t>3.</w:t>
      </w:r>
      <w:r>
        <w:rPr>
          <w:rStyle w:val="a7"/>
          <w:rFonts w:eastAsia="仿宋_GB2312"/>
          <w:bCs/>
          <w:sz w:val="32"/>
          <w:szCs w:val="32"/>
        </w:rPr>
        <w:t>一般公共服务（类）商贸事务（款）一般行政管理事务（项）</w:t>
      </w:r>
      <w:r>
        <w:rPr>
          <w:rStyle w:val="a7"/>
          <w:rFonts w:eastAsia="仿宋_GB2312"/>
          <w:bCs/>
          <w:sz w:val="32"/>
          <w:szCs w:val="32"/>
        </w:rPr>
        <w:t>:</w:t>
      </w:r>
      <w:r>
        <w:rPr>
          <w:rStyle w:val="a7"/>
          <w:rFonts w:eastAsia="仿宋_GB2312"/>
          <w:b w:val="0"/>
          <w:bCs/>
          <w:sz w:val="32"/>
          <w:szCs w:val="32"/>
        </w:rPr>
        <w:t>支出决算为</w:t>
      </w:r>
      <w:r>
        <w:rPr>
          <w:rStyle w:val="a7"/>
          <w:rFonts w:eastAsia="仿宋_GB2312"/>
          <w:b w:val="0"/>
          <w:bCs/>
          <w:sz w:val="32"/>
          <w:szCs w:val="32"/>
        </w:rPr>
        <w:t>279.17</w:t>
      </w:r>
      <w:r>
        <w:rPr>
          <w:rStyle w:val="a7"/>
          <w:rFonts w:eastAsia="仿宋_GB2312"/>
          <w:b w:val="0"/>
          <w:bCs/>
          <w:sz w:val="32"/>
          <w:szCs w:val="32"/>
        </w:rPr>
        <w:t>万元，完成预算</w:t>
      </w:r>
      <w:r>
        <w:rPr>
          <w:rStyle w:val="a7"/>
          <w:rFonts w:eastAsia="仿宋_GB2312"/>
          <w:b w:val="0"/>
          <w:bCs/>
          <w:sz w:val="32"/>
          <w:szCs w:val="32"/>
        </w:rPr>
        <w:t>99.2%</w:t>
      </w:r>
      <w:r>
        <w:rPr>
          <w:rStyle w:val="a7"/>
          <w:rFonts w:eastAsia="仿宋_GB2312"/>
          <w:b w:val="0"/>
          <w:bCs/>
          <w:sz w:val="32"/>
          <w:szCs w:val="32"/>
        </w:rPr>
        <w:t>，决算数小于预算数的主要原因是</w:t>
      </w:r>
      <w:r>
        <w:rPr>
          <w:rFonts w:eastAsia="仿宋_GB2312"/>
          <w:color w:val="000000"/>
          <w:sz w:val="32"/>
          <w:szCs w:val="32"/>
        </w:rPr>
        <w:t>厉行节约压减一般性事务支出</w:t>
      </w:r>
      <w:r>
        <w:rPr>
          <w:rStyle w:val="a7"/>
          <w:rFonts w:eastAsia="仿宋_GB2312"/>
          <w:b w:val="0"/>
          <w:bCs/>
          <w:sz w:val="32"/>
          <w:szCs w:val="32"/>
        </w:rPr>
        <w:t>。</w:t>
      </w:r>
    </w:p>
    <w:p w:rsidR="00B377EC" w:rsidRDefault="00F95364" w:rsidP="00D74874">
      <w:pPr>
        <w:spacing w:line="600" w:lineRule="exact"/>
        <w:ind w:firstLineChars="200" w:firstLine="640"/>
        <w:rPr>
          <w:rStyle w:val="a7"/>
          <w:rFonts w:eastAsia="仿宋_GB2312"/>
          <w:b w:val="0"/>
          <w:bCs/>
          <w:sz w:val="32"/>
          <w:szCs w:val="32"/>
        </w:rPr>
      </w:pPr>
      <w:r>
        <w:rPr>
          <w:rStyle w:val="a7"/>
          <w:rFonts w:eastAsia="仿宋_GB2312"/>
          <w:bCs/>
          <w:sz w:val="32"/>
          <w:szCs w:val="32"/>
        </w:rPr>
        <w:t>4.</w:t>
      </w:r>
      <w:r>
        <w:rPr>
          <w:rStyle w:val="a7"/>
          <w:rFonts w:eastAsia="仿宋_GB2312"/>
          <w:bCs/>
          <w:sz w:val="32"/>
          <w:szCs w:val="32"/>
        </w:rPr>
        <w:t>一般公共服务（类）商贸事务（款）招商引资（项）</w:t>
      </w:r>
      <w:r>
        <w:rPr>
          <w:rStyle w:val="a7"/>
          <w:rFonts w:eastAsia="仿宋_GB2312"/>
          <w:bCs/>
          <w:sz w:val="32"/>
          <w:szCs w:val="32"/>
        </w:rPr>
        <w:t>:</w:t>
      </w:r>
      <w:r>
        <w:rPr>
          <w:rStyle w:val="a7"/>
          <w:rFonts w:eastAsia="仿宋_GB2312"/>
          <w:b w:val="0"/>
          <w:bCs/>
          <w:sz w:val="32"/>
          <w:szCs w:val="32"/>
        </w:rPr>
        <w:t>支出决算为</w:t>
      </w:r>
      <w:r>
        <w:rPr>
          <w:rStyle w:val="a7"/>
          <w:rFonts w:eastAsia="仿宋_GB2312"/>
          <w:b w:val="0"/>
          <w:bCs/>
          <w:sz w:val="32"/>
          <w:szCs w:val="32"/>
        </w:rPr>
        <w:t>21</w:t>
      </w:r>
      <w:r>
        <w:rPr>
          <w:rStyle w:val="a7"/>
          <w:rFonts w:eastAsia="仿宋_GB2312"/>
          <w:b w:val="0"/>
          <w:bCs/>
          <w:sz w:val="32"/>
          <w:szCs w:val="32"/>
        </w:rPr>
        <w:t>万元，完成预算</w:t>
      </w:r>
      <w:r>
        <w:rPr>
          <w:rStyle w:val="a7"/>
          <w:rFonts w:eastAsia="仿宋_GB2312"/>
          <w:b w:val="0"/>
          <w:bCs/>
          <w:sz w:val="32"/>
          <w:szCs w:val="32"/>
        </w:rPr>
        <w:t>100%</w:t>
      </w:r>
      <w:r>
        <w:rPr>
          <w:rStyle w:val="a7"/>
          <w:rFonts w:eastAsia="仿宋_GB2312"/>
          <w:b w:val="0"/>
          <w:bCs/>
          <w:sz w:val="32"/>
          <w:szCs w:val="32"/>
        </w:rPr>
        <w:t>，决算数等于预算数。</w:t>
      </w:r>
    </w:p>
    <w:p w:rsidR="00B377EC" w:rsidRDefault="00F95364">
      <w:pPr>
        <w:pStyle w:val="a0"/>
        <w:spacing w:beforeLines="0" w:line="600" w:lineRule="exact"/>
        <w:ind w:firstLine="600"/>
        <w:rPr>
          <w:rStyle w:val="a7"/>
          <w:rFonts w:ascii="Times New Roman"/>
          <w:b w:val="0"/>
          <w:bCs/>
          <w:sz w:val="32"/>
          <w:szCs w:val="32"/>
        </w:rPr>
      </w:pPr>
      <w:r>
        <w:rPr>
          <w:rFonts w:ascii="Times New Roman"/>
        </w:rPr>
        <w:t>5</w:t>
      </w:r>
      <w:r>
        <w:rPr>
          <w:rFonts w:ascii="Times New Roman"/>
        </w:rPr>
        <w:t>、</w:t>
      </w:r>
      <w:r>
        <w:rPr>
          <w:rStyle w:val="a7"/>
          <w:rFonts w:ascii="Times New Roman"/>
          <w:bCs/>
          <w:sz w:val="32"/>
          <w:szCs w:val="32"/>
        </w:rPr>
        <w:t>一般公共服务（类）政府办公厅及相关机构事务（款）行政运行（项）</w:t>
      </w:r>
      <w:r>
        <w:rPr>
          <w:rStyle w:val="a7"/>
          <w:rFonts w:ascii="Times New Roman"/>
          <w:bCs/>
          <w:sz w:val="32"/>
          <w:szCs w:val="32"/>
        </w:rPr>
        <w:t>:</w:t>
      </w:r>
      <w:r>
        <w:rPr>
          <w:rStyle w:val="a7"/>
          <w:rFonts w:ascii="Times New Roman"/>
          <w:b w:val="0"/>
          <w:bCs/>
          <w:sz w:val="32"/>
          <w:szCs w:val="32"/>
        </w:rPr>
        <w:t>支出决算为</w:t>
      </w:r>
      <w:r>
        <w:rPr>
          <w:rStyle w:val="a7"/>
          <w:rFonts w:ascii="Times New Roman"/>
          <w:b w:val="0"/>
          <w:bCs/>
          <w:sz w:val="32"/>
          <w:szCs w:val="32"/>
        </w:rPr>
        <w:t>74.62</w:t>
      </w:r>
      <w:r>
        <w:rPr>
          <w:rStyle w:val="a7"/>
          <w:rFonts w:ascii="Times New Roman"/>
          <w:b w:val="0"/>
          <w:bCs/>
          <w:sz w:val="32"/>
          <w:szCs w:val="32"/>
        </w:rPr>
        <w:t>万元，完成预算</w:t>
      </w:r>
      <w:r>
        <w:rPr>
          <w:rStyle w:val="a7"/>
          <w:rFonts w:ascii="Times New Roman"/>
          <w:b w:val="0"/>
          <w:bCs/>
          <w:sz w:val="32"/>
          <w:szCs w:val="32"/>
        </w:rPr>
        <w:t>100%</w:t>
      </w:r>
      <w:r>
        <w:rPr>
          <w:rStyle w:val="a7"/>
          <w:rFonts w:ascii="Times New Roman"/>
          <w:b w:val="0"/>
          <w:bCs/>
          <w:sz w:val="32"/>
          <w:szCs w:val="32"/>
        </w:rPr>
        <w:t>，</w:t>
      </w:r>
      <w:r>
        <w:rPr>
          <w:rStyle w:val="a7"/>
          <w:rFonts w:ascii="Times New Roman"/>
          <w:b w:val="0"/>
          <w:bCs/>
          <w:sz w:val="32"/>
          <w:szCs w:val="32"/>
        </w:rPr>
        <w:lastRenderedPageBreak/>
        <w:t>决算数等于预算数。</w:t>
      </w:r>
    </w:p>
    <w:p w:rsidR="00B377EC" w:rsidRDefault="00F95364">
      <w:pPr>
        <w:pStyle w:val="a0"/>
        <w:spacing w:beforeLines="0" w:line="600" w:lineRule="exact"/>
        <w:ind w:firstLine="600"/>
        <w:rPr>
          <w:rStyle w:val="a7"/>
          <w:rFonts w:ascii="Times New Roman"/>
          <w:b w:val="0"/>
          <w:bCs/>
          <w:sz w:val="32"/>
          <w:szCs w:val="32"/>
        </w:rPr>
      </w:pPr>
      <w:r>
        <w:rPr>
          <w:rStyle w:val="a7"/>
          <w:rFonts w:ascii="Times New Roman"/>
          <w:bCs/>
          <w:sz w:val="32"/>
          <w:szCs w:val="32"/>
        </w:rPr>
        <w:t>6.</w:t>
      </w:r>
      <w:r>
        <w:rPr>
          <w:rStyle w:val="a7"/>
          <w:rFonts w:ascii="Times New Roman"/>
          <w:bCs/>
          <w:sz w:val="32"/>
          <w:szCs w:val="32"/>
        </w:rPr>
        <w:t>社会保障和就业支出（类）行政事业单位养老支出（款）行政单位离退休（项）</w:t>
      </w:r>
      <w:r>
        <w:rPr>
          <w:rStyle w:val="a7"/>
          <w:rFonts w:ascii="Times New Roman"/>
          <w:bCs/>
          <w:sz w:val="32"/>
          <w:szCs w:val="32"/>
        </w:rPr>
        <w:t>:</w:t>
      </w:r>
      <w:r>
        <w:rPr>
          <w:rStyle w:val="a7"/>
          <w:rFonts w:ascii="Times New Roman"/>
          <w:b w:val="0"/>
          <w:bCs/>
          <w:sz w:val="32"/>
          <w:szCs w:val="32"/>
        </w:rPr>
        <w:t>支出决算为</w:t>
      </w:r>
      <w:r>
        <w:rPr>
          <w:rStyle w:val="a7"/>
          <w:rFonts w:ascii="Times New Roman"/>
          <w:b w:val="0"/>
          <w:bCs/>
          <w:sz w:val="32"/>
          <w:szCs w:val="32"/>
        </w:rPr>
        <w:t>96.04</w:t>
      </w:r>
      <w:r>
        <w:rPr>
          <w:rStyle w:val="a7"/>
          <w:rFonts w:ascii="Times New Roman"/>
          <w:b w:val="0"/>
          <w:bCs/>
          <w:sz w:val="32"/>
          <w:szCs w:val="32"/>
        </w:rPr>
        <w:t>万元，完成预算</w:t>
      </w:r>
      <w:r>
        <w:rPr>
          <w:rStyle w:val="a7"/>
          <w:rFonts w:ascii="Times New Roman"/>
          <w:b w:val="0"/>
          <w:bCs/>
          <w:sz w:val="32"/>
          <w:szCs w:val="32"/>
        </w:rPr>
        <w:t>100%</w:t>
      </w:r>
      <w:r>
        <w:rPr>
          <w:rStyle w:val="a7"/>
          <w:rFonts w:ascii="Times New Roman"/>
          <w:b w:val="0"/>
          <w:bCs/>
          <w:sz w:val="32"/>
          <w:szCs w:val="32"/>
        </w:rPr>
        <w:t>，决算数等于预算数。</w:t>
      </w:r>
    </w:p>
    <w:p w:rsidR="00B377EC" w:rsidRDefault="00F95364" w:rsidP="00D74874">
      <w:pPr>
        <w:spacing w:line="600" w:lineRule="exact"/>
        <w:ind w:firstLineChars="200" w:firstLine="640"/>
        <w:rPr>
          <w:rStyle w:val="a7"/>
          <w:rFonts w:eastAsia="仿宋_GB2312"/>
          <w:b w:val="0"/>
          <w:bCs/>
          <w:sz w:val="32"/>
          <w:szCs w:val="32"/>
        </w:rPr>
      </w:pPr>
      <w:r>
        <w:rPr>
          <w:rStyle w:val="a7"/>
          <w:rFonts w:eastAsia="仿宋_GB2312"/>
          <w:bCs/>
          <w:sz w:val="32"/>
          <w:szCs w:val="32"/>
        </w:rPr>
        <w:t>7.</w:t>
      </w:r>
      <w:r>
        <w:rPr>
          <w:rStyle w:val="a7"/>
          <w:rFonts w:eastAsia="仿宋_GB2312"/>
          <w:bCs/>
          <w:sz w:val="32"/>
          <w:szCs w:val="32"/>
        </w:rPr>
        <w:t>社会保障和就业支出（类）行政事业单位养老支出（款）机关事业单位基本养老保险缴费支出（项）</w:t>
      </w:r>
      <w:r>
        <w:rPr>
          <w:rStyle w:val="a7"/>
          <w:rFonts w:eastAsia="仿宋_GB2312"/>
          <w:bCs/>
          <w:sz w:val="32"/>
          <w:szCs w:val="32"/>
        </w:rPr>
        <w:t>:</w:t>
      </w:r>
      <w:r>
        <w:rPr>
          <w:rStyle w:val="a7"/>
          <w:rFonts w:eastAsia="仿宋_GB2312"/>
          <w:b w:val="0"/>
          <w:bCs/>
          <w:sz w:val="32"/>
          <w:szCs w:val="32"/>
        </w:rPr>
        <w:t>支出决算为</w:t>
      </w:r>
      <w:r>
        <w:rPr>
          <w:rStyle w:val="a7"/>
          <w:rFonts w:eastAsia="仿宋_GB2312"/>
          <w:b w:val="0"/>
          <w:bCs/>
          <w:sz w:val="32"/>
          <w:szCs w:val="32"/>
        </w:rPr>
        <w:t>58.48</w:t>
      </w:r>
      <w:r>
        <w:rPr>
          <w:rStyle w:val="a7"/>
          <w:rFonts w:eastAsia="仿宋_GB2312"/>
          <w:b w:val="0"/>
          <w:bCs/>
          <w:sz w:val="32"/>
          <w:szCs w:val="32"/>
        </w:rPr>
        <w:t>万元，完成预算</w:t>
      </w:r>
      <w:r>
        <w:rPr>
          <w:rStyle w:val="a7"/>
          <w:rFonts w:eastAsia="仿宋_GB2312"/>
          <w:b w:val="0"/>
          <w:bCs/>
          <w:sz w:val="32"/>
          <w:szCs w:val="32"/>
        </w:rPr>
        <w:t>100%</w:t>
      </w:r>
      <w:r>
        <w:rPr>
          <w:rStyle w:val="a7"/>
          <w:rFonts w:eastAsia="仿宋_GB2312"/>
          <w:b w:val="0"/>
          <w:bCs/>
          <w:sz w:val="32"/>
          <w:szCs w:val="32"/>
        </w:rPr>
        <w:t>，决算数等于预算数。</w:t>
      </w:r>
    </w:p>
    <w:p w:rsidR="00B377EC" w:rsidRDefault="00F95364" w:rsidP="00D74874">
      <w:pPr>
        <w:spacing w:line="600" w:lineRule="exact"/>
        <w:ind w:firstLineChars="200" w:firstLine="640"/>
        <w:rPr>
          <w:rStyle w:val="a7"/>
          <w:rFonts w:eastAsia="仿宋_GB2312"/>
          <w:b w:val="0"/>
          <w:bCs/>
          <w:sz w:val="32"/>
          <w:szCs w:val="32"/>
        </w:rPr>
      </w:pPr>
      <w:r>
        <w:rPr>
          <w:rStyle w:val="a7"/>
          <w:rFonts w:eastAsia="仿宋_GB2312"/>
          <w:bCs/>
          <w:sz w:val="32"/>
          <w:szCs w:val="32"/>
        </w:rPr>
        <w:t>8.</w:t>
      </w:r>
      <w:r>
        <w:rPr>
          <w:rStyle w:val="a7"/>
          <w:rFonts w:eastAsia="仿宋_GB2312"/>
          <w:bCs/>
          <w:sz w:val="32"/>
          <w:szCs w:val="32"/>
        </w:rPr>
        <w:t>社会保障和就业支出（类）抚恤（款）死亡抚恤（项）</w:t>
      </w:r>
      <w:r>
        <w:rPr>
          <w:rStyle w:val="a7"/>
          <w:rFonts w:eastAsia="仿宋_GB2312"/>
          <w:bCs/>
          <w:sz w:val="32"/>
          <w:szCs w:val="32"/>
        </w:rPr>
        <w:t>:</w:t>
      </w:r>
      <w:r>
        <w:rPr>
          <w:rStyle w:val="a7"/>
          <w:rFonts w:eastAsia="仿宋_GB2312"/>
          <w:b w:val="0"/>
          <w:bCs/>
          <w:sz w:val="32"/>
          <w:szCs w:val="32"/>
        </w:rPr>
        <w:t>支出决算为</w:t>
      </w:r>
      <w:r>
        <w:rPr>
          <w:rStyle w:val="a7"/>
          <w:rFonts w:eastAsia="仿宋_GB2312"/>
          <w:b w:val="0"/>
          <w:bCs/>
          <w:sz w:val="32"/>
          <w:szCs w:val="32"/>
        </w:rPr>
        <w:t>39.97</w:t>
      </w:r>
      <w:r>
        <w:rPr>
          <w:rStyle w:val="a7"/>
          <w:rFonts w:eastAsia="仿宋_GB2312"/>
          <w:b w:val="0"/>
          <w:bCs/>
          <w:sz w:val="32"/>
          <w:szCs w:val="32"/>
        </w:rPr>
        <w:t>万元，完成预算</w:t>
      </w:r>
      <w:r>
        <w:rPr>
          <w:rStyle w:val="a7"/>
          <w:rFonts w:eastAsia="仿宋_GB2312"/>
          <w:b w:val="0"/>
          <w:bCs/>
          <w:sz w:val="32"/>
          <w:szCs w:val="32"/>
        </w:rPr>
        <w:t>99.9%</w:t>
      </w:r>
      <w:r>
        <w:rPr>
          <w:rStyle w:val="a7"/>
          <w:rFonts w:eastAsia="仿宋_GB2312"/>
          <w:b w:val="0"/>
          <w:bCs/>
          <w:sz w:val="32"/>
          <w:szCs w:val="32"/>
        </w:rPr>
        <w:t>，决算数小于预算数主要原因是形成少量结余。</w:t>
      </w:r>
    </w:p>
    <w:p w:rsidR="00B377EC" w:rsidRDefault="00F95364" w:rsidP="00D74874">
      <w:pPr>
        <w:spacing w:line="600" w:lineRule="exact"/>
        <w:ind w:firstLineChars="200" w:firstLine="640"/>
        <w:rPr>
          <w:rStyle w:val="a7"/>
          <w:rFonts w:eastAsia="仿宋_GB2312"/>
          <w:b w:val="0"/>
          <w:bCs/>
          <w:sz w:val="32"/>
          <w:szCs w:val="32"/>
        </w:rPr>
      </w:pPr>
      <w:r>
        <w:rPr>
          <w:rStyle w:val="a7"/>
          <w:rFonts w:eastAsia="仿宋_GB2312"/>
          <w:bCs/>
          <w:sz w:val="32"/>
          <w:szCs w:val="32"/>
        </w:rPr>
        <w:t>9.</w:t>
      </w:r>
      <w:r>
        <w:rPr>
          <w:rFonts w:eastAsia="仿宋_GB2312"/>
          <w:b/>
          <w:bCs/>
          <w:sz w:val="32"/>
          <w:szCs w:val="32"/>
        </w:rPr>
        <w:t>卫生健康</w:t>
      </w:r>
      <w:r>
        <w:rPr>
          <w:rStyle w:val="a7"/>
          <w:rFonts w:eastAsia="仿宋_GB2312"/>
          <w:bCs/>
          <w:sz w:val="32"/>
          <w:szCs w:val="32"/>
        </w:rPr>
        <w:t>（类）行政事业单位医疗（款）行政单位医疗（项）</w:t>
      </w:r>
      <w:r>
        <w:rPr>
          <w:rStyle w:val="a7"/>
          <w:rFonts w:eastAsia="仿宋_GB2312"/>
          <w:bCs/>
          <w:sz w:val="32"/>
          <w:szCs w:val="32"/>
        </w:rPr>
        <w:t>:</w:t>
      </w:r>
      <w:r>
        <w:rPr>
          <w:rStyle w:val="a7"/>
          <w:rFonts w:eastAsia="仿宋_GB2312"/>
          <w:b w:val="0"/>
          <w:bCs/>
          <w:sz w:val="32"/>
          <w:szCs w:val="32"/>
        </w:rPr>
        <w:t>支出决算为</w:t>
      </w:r>
      <w:r>
        <w:rPr>
          <w:rStyle w:val="a7"/>
          <w:rFonts w:eastAsia="仿宋_GB2312"/>
          <w:b w:val="0"/>
          <w:bCs/>
          <w:sz w:val="32"/>
          <w:szCs w:val="32"/>
        </w:rPr>
        <w:t>34.37</w:t>
      </w:r>
      <w:r>
        <w:rPr>
          <w:rStyle w:val="a7"/>
          <w:rFonts w:eastAsia="仿宋_GB2312"/>
          <w:b w:val="0"/>
          <w:bCs/>
          <w:sz w:val="32"/>
          <w:szCs w:val="32"/>
        </w:rPr>
        <w:t>万元，完成预算</w:t>
      </w:r>
      <w:r>
        <w:rPr>
          <w:rStyle w:val="a7"/>
          <w:rFonts w:eastAsia="仿宋_GB2312"/>
          <w:b w:val="0"/>
          <w:bCs/>
          <w:sz w:val="32"/>
          <w:szCs w:val="32"/>
        </w:rPr>
        <w:t>100%</w:t>
      </w:r>
      <w:r>
        <w:rPr>
          <w:rStyle w:val="a7"/>
          <w:rFonts w:eastAsia="仿宋_GB2312"/>
          <w:b w:val="0"/>
          <w:bCs/>
          <w:sz w:val="32"/>
          <w:szCs w:val="32"/>
        </w:rPr>
        <w:t>，决算数等于预算数。</w:t>
      </w:r>
    </w:p>
    <w:p w:rsidR="00B377EC" w:rsidRDefault="00F95364" w:rsidP="00D74874">
      <w:pPr>
        <w:spacing w:line="600" w:lineRule="exact"/>
        <w:ind w:firstLineChars="200" w:firstLine="640"/>
        <w:rPr>
          <w:rStyle w:val="a7"/>
          <w:rFonts w:eastAsia="仿宋_GB2312"/>
          <w:b w:val="0"/>
          <w:bCs/>
          <w:sz w:val="32"/>
          <w:szCs w:val="32"/>
        </w:rPr>
      </w:pPr>
      <w:r>
        <w:rPr>
          <w:rStyle w:val="a7"/>
          <w:rFonts w:eastAsia="仿宋_GB2312"/>
          <w:bCs/>
          <w:sz w:val="32"/>
          <w:szCs w:val="32"/>
        </w:rPr>
        <w:t>10.</w:t>
      </w:r>
      <w:r>
        <w:rPr>
          <w:rFonts w:eastAsia="仿宋_GB2312"/>
          <w:b/>
          <w:bCs/>
          <w:sz w:val="32"/>
          <w:szCs w:val="32"/>
        </w:rPr>
        <w:t>卫生健康</w:t>
      </w:r>
      <w:r>
        <w:rPr>
          <w:rStyle w:val="a7"/>
          <w:rFonts w:eastAsia="仿宋_GB2312"/>
          <w:bCs/>
          <w:sz w:val="32"/>
          <w:szCs w:val="32"/>
        </w:rPr>
        <w:t>（类）行政事业单位医疗（款）公务员医疗补助（项）</w:t>
      </w:r>
      <w:r>
        <w:rPr>
          <w:rStyle w:val="a7"/>
          <w:rFonts w:eastAsia="仿宋_GB2312"/>
          <w:bCs/>
          <w:sz w:val="32"/>
          <w:szCs w:val="32"/>
        </w:rPr>
        <w:t>:</w:t>
      </w:r>
      <w:r>
        <w:rPr>
          <w:rStyle w:val="a7"/>
          <w:rFonts w:eastAsia="仿宋_GB2312"/>
          <w:b w:val="0"/>
          <w:bCs/>
          <w:sz w:val="32"/>
          <w:szCs w:val="32"/>
        </w:rPr>
        <w:t>支出决算为</w:t>
      </w:r>
      <w:r>
        <w:rPr>
          <w:rStyle w:val="a7"/>
          <w:rFonts w:eastAsia="仿宋_GB2312"/>
          <w:b w:val="0"/>
          <w:bCs/>
          <w:sz w:val="32"/>
          <w:szCs w:val="32"/>
        </w:rPr>
        <w:t>7.18</w:t>
      </w:r>
      <w:r>
        <w:rPr>
          <w:rStyle w:val="a7"/>
          <w:rFonts w:eastAsia="仿宋_GB2312"/>
          <w:b w:val="0"/>
          <w:bCs/>
          <w:sz w:val="32"/>
          <w:szCs w:val="32"/>
        </w:rPr>
        <w:t>万元，完成预算</w:t>
      </w:r>
      <w:r>
        <w:rPr>
          <w:rStyle w:val="a7"/>
          <w:rFonts w:eastAsia="仿宋_GB2312"/>
          <w:b w:val="0"/>
          <w:bCs/>
          <w:sz w:val="32"/>
          <w:szCs w:val="32"/>
        </w:rPr>
        <w:t>100%</w:t>
      </w:r>
      <w:r>
        <w:rPr>
          <w:rStyle w:val="a7"/>
          <w:rFonts w:eastAsia="仿宋_GB2312"/>
          <w:b w:val="0"/>
          <w:bCs/>
          <w:sz w:val="32"/>
          <w:szCs w:val="32"/>
        </w:rPr>
        <w:t>，决算数等于预算数。</w:t>
      </w:r>
    </w:p>
    <w:p w:rsidR="00B377EC" w:rsidRDefault="00F95364" w:rsidP="00D74874">
      <w:pPr>
        <w:spacing w:line="600" w:lineRule="exact"/>
        <w:ind w:firstLineChars="200" w:firstLine="640"/>
        <w:rPr>
          <w:rFonts w:eastAsia="仿宋_GB2312"/>
          <w:b/>
          <w:sz w:val="32"/>
          <w:szCs w:val="32"/>
        </w:rPr>
      </w:pPr>
      <w:r>
        <w:rPr>
          <w:rStyle w:val="a7"/>
          <w:rFonts w:eastAsia="仿宋_GB2312"/>
          <w:bCs/>
          <w:sz w:val="32"/>
          <w:szCs w:val="32"/>
        </w:rPr>
        <w:t>11.</w:t>
      </w:r>
      <w:r>
        <w:rPr>
          <w:rFonts w:eastAsia="仿宋_GB2312"/>
          <w:b/>
          <w:bCs/>
          <w:sz w:val="32"/>
          <w:szCs w:val="32"/>
        </w:rPr>
        <w:t>住房保障</w:t>
      </w:r>
      <w:r>
        <w:rPr>
          <w:rStyle w:val="a7"/>
          <w:rFonts w:eastAsia="仿宋_GB2312"/>
          <w:bCs/>
          <w:sz w:val="32"/>
          <w:szCs w:val="32"/>
        </w:rPr>
        <w:t>（类）住房改革支出（款）住房公积金（项）</w:t>
      </w:r>
      <w:r>
        <w:rPr>
          <w:rStyle w:val="a7"/>
          <w:rFonts w:eastAsia="仿宋_GB2312"/>
          <w:bCs/>
          <w:sz w:val="32"/>
          <w:szCs w:val="32"/>
        </w:rPr>
        <w:t>:</w:t>
      </w:r>
      <w:r>
        <w:rPr>
          <w:rStyle w:val="a7"/>
          <w:rFonts w:eastAsia="仿宋_GB2312"/>
          <w:b w:val="0"/>
          <w:bCs/>
          <w:sz w:val="32"/>
          <w:szCs w:val="32"/>
        </w:rPr>
        <w:t>支出决算为</w:t>
      </w:r>
      <w:r>
        <w:rPr>
          <w:rStyle w:val="a7"/>
          <w:rFonts w:eastAsia="仿宋_GB2312"/>
          <w:b w:val="0"/>
          <w:bCs/>
          <w:sz w:val="32"/>
          <w:szCs w:val="32"/>
        </w:rPr>
        <w:t>49.41</w:t>
      </w:r>
      <w:r>
        <w:rPr>
          <w:rStyle w:val="a7"/>
          <w:rFonts w:eastAsia="仿宋_GB2312"/>
          <w:b w:val="0"/>
          <w:bCs/>
          <w:sz w:val="32"/>
          <w:szCs w:val="32"/>
        </w:rPr>
        <w:t>万元，完成预算</w:t>
      </w:r>
      <w:r>
        <w:rPr>
          <w:rStyle w:val="a7"/>
          <w:rFonts w:eastAsia="仿宋_GB2312"/>
          <w:b w:val="0"/>
          <w:bCs/>
          <w:sz w:val="32"/>
          <w:szCs w:val="32"/>
        </w:rPr>
        <w:t>100%</w:t>
      </w:r>
      <w:r>
        <w:rPr>
          <w:rStyle w:val="a7"/>
          <w:rFonts w:eastAsia="仿宋_GB2312"/>
          <w:b w:val="0"/>
          <w:bCs/>
          <w:sz w:val="32"/>
          <w:szCs w:val="32"/>
        </w:rPr>
        <w:t>，决算数等于预算数。</w:t>
      </w:r>
    </w:p>
    <w:p w:rsidR="00B377EC" w:rsidRDefault="00F95364">
      <w:pPr>
        <w:tabs>
          <w:tab w:val="right" w:pos="8306"/>
        </w:tabs>
        <w:spacing w:line="600" w:lineRule="exact"/>
        <w:ind w:firstLine="640"/>
        <w:outlineLvl w:val="1"/>
        <w:rPr>
          <w:rStyle w:val="2Char"/>
        </w:rPr>
      </w:pPr>
      <w:bookmarkStart w:id="46" w:name="_Toc15377214"/>
      <w:bookmarkStart w:id="47" w:name="_Toc15396608"/>
      <w:bookmarkStart w:id="48" w:name="_Toc113284432"/>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46"/>
      <w:bookmarkEnd w:id="47"/>
      <w:bookmarkEnd w:id="48"/>
      <w:r>
        <w:rPr>
          <w:rStyle w:val="2Char"/>
          <w:rFonts w:ascii="黑体" w:eastAsia="黑体" w:hAnsi="黑体"/>
          <w:b w:val="0"/>
        </w:rPr>
        <w:tab/>
      </w:r>
    </w:p>
    <w:p w:rsidR="00B377EC" w:rsidRDefault="00F95364">
      <w:pPr>
        <w:spacing w:line="600" w:lineRule="exact"/>
        <w:ind w:firstLine="645"/>
        <w:rPr>
          <w:rFonts w:eastAsia="仿宋_GB2312"/>
          <w:sz w:val="32"/>
          <w:szCs w:val="32"/>
        </w:rPr>
      </w:pPr>
      <w:r>
        <w:rPr>
          <w:rFonts w:eastAsia="仿宋_GB2312"/>
          <w:sz w:val="32"/>
          <w:szCs w:val="32"/>
        </w:rPr>
        <w:t>2021</w:t>
      </w:r>
      <w:r>
        <w:rPr>
          <w:rFonts w:eastAsia="仿宋_GB2312"/>
          <w:sz w:val="32"/>
          <w:szCs w:val="32"/>
        </w:rPr>
        <w:t>年一般公共预算财政拨款基本支出</w:t>
      </w:r>
      <w:r>
        <w:rPr>
          <w:rFonts w:eastAsia="仿宋_GB2312"/>
          <w:sz w:val="32"/>
          <w:szCs w:val="32"/>
        </w:rPr>
        <w:t>932.32</w:t>
      </w:r>
      <w:r>
        <w:rPr>
          <w:rFonts w:eastAsia="仿宋_GB2312"/>
          <w:sz w:val="32"/>
          <w:szCs w:val="32"/>
        </w:rPr>
        <w:t>万元，其中：</w:t>
      </w:r>
    </w:p>
    <w:p w:rsidR="00B377EC" w:rsidRDefault="00F95364">
      <w:pPr>
        <w:spacing w:line="600" w:lineRule="exact"/>
        <w:ind w:firstLine="645"/>
        <w:rPr>
          <w:rFonts w:eastAsia="仿宋_GB2312"/>
          <w:sz w:val="32"/>
          <w:szCs w:val="32"/>
        </w:rPr>
      </w:pPr>
      <w:r>
        <w:rPr>
          <w:rFonts w:eastAsia="仿宋_GB2312"/>
          <w:sz w:val="32"/>
          <w:szCs w:val="32"/>
        </w:rPr>
        <w:t>人员经费</w:t>
      </w:r>
      <w:r>
        <w:rPr>
          <w:rFonts w:eastAsia="仿宋_GB2312"/>
          <w:sz w:val="32"/>
          <w:szCs w:val="32"/>
        </w:rPr>
        <w:t>706.43</w:t>
      </w:r>
      <w:r>
        <w:rPr>
          <w:rFonts w:eastAsia="仿宋_GB2312"/>
          <w:sz w:val="32"/>
          <w:szCs w:val="32"/>
        </w:rPr>
        <w:t>万元，主要包括：基本工资、津贴补贴、奖金、机关事业单位基本养老保险缴费、职工基本医疗保险</w:t>
      </w:r>
      <w:r>
        <w:rPr>
          <w:rFonts w:eastAsia="仿宋_GB2312"/>
          <w:sz w:val="32"/>
          <w:szCs w:val="32"/>
        </w:rPr>
        <w:lastRenderedPageBreak/>
        <w:t>缴费、公务员医疗补助缴费、其他工资福利支出、离休费、退休费、抚恤金、奖励金、住房公积金、其他对个人和家庭的补助支出等。</w:t>
      </w:r>
      <w:r>
        <w:rPr>
          <w:rFonts w:eastAsia="仿宋_GB2312"/>
          <w:sz w:val="32"/>
          <w:szCs w:val="32"/>
        </w:rPr>
        <w:br/>
      </w:r>
      <w:r>
        <w:rPr>
          <w:rFonts w:eastAsia="仿宋_GB2312"/>
          <w:sz w:val="32"/>
          <w:szCs w:val="32"/>
        </w:rPr>
        <w:t xml:space="preserve">　　公用经费</w:t>
      </w:r>
      <w:r>
        <w:rPr>
          <w:rFonts w:eastAsia="仿宋_GB2312"/>
          <w:sz w:val="32"/>
          <w:szCs w:val="32"/>
        </w:rPr>
        <w:t>225.89</w:t>
      </w:r>
      <w:r>
        <w:rPr>
          <w:rFonts w:eastAsia="仿宋_GB2312"/>
          <w:sz w:val="32"/>
          <w:szCs w:val="32"/>
        </w:rPr>
        <w:t>万元，主要包括：办公费、水费、电费、邮电费、物业管理费、差旅费、维修（护）费、租赁费、会议费、培训费、公务接待费、工会经费、福利费、公务用车运行维护费、其他交通费、其他商品和服务支出等。</w:t>
      </w:r>
    </w:p>
    <w:p w:rsidR="00B377EC" w:rsidRDefault="00F95364">
      <w:pPr>
        <w:spacing w:line="600" w:lineRule="exact"/>
        <w:ind w:firstLine="640"/>
        <w:outlineLvl w:val="1"/>
        <w:rPr>
          <w:rStyle w:val="2Char"/>
          <w:rFonts w:ascii="黑体" w:eastAsia="黑体" w:hAnsi="黑体"/>
          <w:b w:val="0"/>
        </w:rPr>
      </w:pPr>
      <w:bookmarkStart w:id="49" w:name="_Toc15377215"/>
      <w:bookmarkStart w:id="50" w:name="_Toc15396609"/>
      <w:bookmarkStart w:id="51" w:name="_Toc113284433"/>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9"/>
      <w:bookmarkEnd w:id="50"/>
      <w:bookmarkEnd w:id="51"/>
    </w:p>
    <w:p w:rsidR="00B377EC" w:rsidRDefault="00F95364">
      <w:pPr>
        <w:spacing w:line="600" w:lineRule="exact"/>
        <w:ind w:firstLine="640"/>
        <w:outlineLvl w:val="2"/>
        <w:rPr>
          <w:rFonts w:ascii="楷体" w:eastAsia="楷体" w:hAnsi="楷体" w:cs="楷体"/>
          <w:bCs/>
          <w:sz w:val="32"/>
          <w:szCs w:val="32"/>
        </w:rPr>
      </w:pPr>
      <w:bookmarkStart w:id="52" w:name="_Toc15377216"/>
      <w:bookmarkStart w:id="53" w:name="_Toc113284434"/>
      <w:r>
        <w:rPr>
          <w:rFonts w:ascii="楷体" w:eastAsia="楷体" w:hAnsi="楷体" w:cs="楷体" w:hint="eastAsia"/>
          <w:bCs/>
          <w:sz w:val="32"/>
          <w:szCs w:val="32"/>
        </w:rPr>
        <w:t>（一）“三公”经费财政拨款支出决算总体情况说明</w:t>
      </w:r>
      <w:bookmarkEnd w:id="52"/>
      <w:bookmarkEnd w:id="53"/>
    </w:p>
    <w:p w:rsidR="00B377EC" w:rsidRDefault="00F95364">
      <w:pPr>
        <w:spacing w:line="600" w:lineRule="exact"/>
        <w:ind w:firstLine="645"/>
        <w:rPr>
          <w:rFonts w:eastAsia="仿宋_GB2312"/>
          <w:sz w:val="32"/>
          <w:szCs w:val="32"/>
        </w:rPr>
      </w:pPr>
      <w:r>
        <w:rPr>
          <w:rFonts w:eastAsia="仿宋_GB2312"/>
          <w:sz w:val="32"/>
          <w:szCs w:val="32"/>
        </w:rPr>
        <w:t>20</w:t>
      </w:r>
      <w:r>
        <w:rPr>
          <w:rFonts w:eastAsia="仿宋_GB2312" w:hint="eastAsia"/>
          <w:sz w:val="32"/>
          <w:szCs w:val="32"/>
        </w:rPr>
        <w:t>21</w:t>
      </w:r>
      <w:r>
        <w:rPr>
          <w:rFonts w:eastAsia="仿宋_GB2312" w:hint="eastAsia"/>
          <w:sz w:val="32"/>
          <w:szCs w:val="32"/>
        </w:rPr>
        <w:t>年“三公”经费财政拨款支出决算为</w:t>
      </w:r>
      <w:r>
        <w:rPr>
          <w:rFonts w:eastAsia="仿宋_GB2312" w:hint="eastAsia"/>
          <w:sz w:val="32"/>
          <w:szCs w:val="32"/>
        </w:rPr>
        <w:t>56.62</w:t>
      </w:r>
      <w:r>
        <w:rPr>
          <w:rFonts w:eastAsia="仿宋_GB2312" w:hint="eastAsia"/>
          <w:sz w:val="32"/>
          <w:szCs w:val="32"/>
        </w:rPr>
        <w:t>万元，完成预算</w:t>
      </w:r>
      <w:r>
        <w:rPr>
          <w:rFonts w:eastAsia="仿宋_GB2312" w:hint="eastAsia"/>
          <w:sz w:val="32"/>
          <w:szCs w:val="32"/>
        </w:rPr>
        <w:t>89.87</w:t>
      </w:r>
      <w:r>
        <w:rPr>
          <w:rFonts w:eastAsia="仿宋_GB2312"/>
          <w:sz w:val="32"/>
          <w:szCs w:val="32"/>
        </w:rPr>
        <w:t>%</w:t>
      </w:r>
      <w:r>
        <w:rPr>
          <w:rFonts w:eastAsia="仿宋_GB2312" w:hint="eastAsia"/>
          <w:sz w:val="32"/>
          <w:szCs w:val="32"/>
        </w:rPr>
        <w:t>，决算数小于预算数的主要原因是厉行节约大力压缩三公经费支出。</w:t>
      </w:r>
    </w:p>
    <w:p w:rsidR="00B377EC" w:rsidRDefault="00F95364">
      <w:pPr>
        <w:spacing w:line="600" w:lineRule="exact"/>
        <w:ind w:firstLine="640"/>
        <w:outlineLvl w:val="2"/>
        <w:rPr>
          <w:rFonts w:ascii="楷体" w:eastAsia="楷体" w:hAnsi="楷体" w:cs="楷体"/>
          <w:bCs/>
          <w:sz w:val="32"/>
          <w:szCs w:val="32"/>
        </w:rPr>
      </w:pPr>
      <w:bookmarkStart w:id="54" w:name="_Toc15377217"/>
      <w:bookmarkStart w:id="55" w:name="_Toc113284435"/>
      <w:r>
        <w:rPr>
          <w:rFonts w:ascii="楷体" w:eastAsia="楷体" w:hAnsi="楷体" w:cs="楷体" w:hint="eastAsia"/>
          <w:bCs/>
          <w:sz w:val="32"/>
          <w:szCs w:val="32"/>
        </w:rPr>
        <w:t>（二）“三公”经费财政拨款支出决算具体情况说明</w:t>
      </w:r>
      <w:bookmarkEnd w:id="54"/>
      <w:bookmarkEnd w:id="55"/>
    </w:p>
    <w:p w:rsidR="00B377EC" w:rsidRDefault="00F95364">
      <w:pPr>
        <w:spacing w:line="600" w:lineRule="exact"/>
        <w:ind w:firstLine="645"/>
        <w:rPr>
          <w:rFonts w:eastAsia="仿宋_GB2312"/>
          <w:sz w:val="32"/>
          <w:szCs w:val="32"/>
        </w:rPr>
      </w:pPr>
      <w:r>
        <w:rPr>
          <w:rFonts w:eastAsia="仿宋_GB2312"/>
          <w:sz w:val="32"/>
          <w:szCs w:val="32"/>
        </w:rPr>
        <w:t>20</w:t>
      </w:r>
      <w:r>
        <w:rPr>
          <w:rFonts w:eastAsia="仿宋_GB2312" w:hint="eastAsia"/>
          <w:sz w:val="32"/>
          <w:szCs w:val="32"/>
        </w:rPr>
        <w:t>21</w:t>
      </w:r>
      <w:r>
        <w:rPr>
          <w:rFonts w:eastAsia="仿宋_GB2312" w:hint="eastAsia"/>
          <w:sz w:val="32"/>
          <w:szCs w:val="32"/>
        </w:rPr>
        <w:t>年“三公”经费财政拨款支出决算中，因公出国（境）费支出决算</w:t>
      </w:r>
      <w:r>
        <w:rPr>
          <w:rFonts w:eastAsia="仿宋_GB2312" w:hint="eastAsia"/>
          <w:sz w:val="32"/>
          <w:szCs w:val="32"/>
        </w:rPr>
        <w:t>0</w:t>
      </w:r>
      <w:r>
        <w:rPr>
          <w:rFonts w:eastAsia="仿宋_GB2312" w:hint="eastAsia"/>
          <w:sz w:val="32"/>
          <w:szCs w:val="32"/>
        </w:rPr>
        <w:t>万元，占</w:t>
      </w:r>
      <w:r>
        <w:rPr>
          <w:rFonts w:eastAsia="仿宋_GB2312" w:hint="eastAsia"/>
          <w:sz w:val="32"/>
          <w:szCs w:val="32"/>
        </w:rPr>
        <w:t>0</w:t>
      </w:r>
      <w:r>
        <w:rPr>
          <w:rFonts w:eastAsia="仿宋_GB2312"/>
          <w:sz w:val="32"/>
          <w:szCs w:val="32"/>
        </w:rPr>
        <w:t>%</w:t>
      </w:r>
      <w:r>
        <w:rPr>
          <w:rFonts w:eastAsia="仿宋_GB2312" w:hint="eastAsia"/>
          <w:sz w:val="32"/>
          <w:szCs w:val="32"/>
        </w:rPr>
        <w:t>；公务用车购置及运行维护费支出决算</w:t>
      </w:r>
      <w:r>
        <w:rPr>
          <w:rFonts w:eastAsia="仿宋_GB2312" w:hint="eastAsia"/>
          <w:sz w:val="32"/>
          <w:szCs w:val="32"/>
        </w:rPr>
        <w:t>17.25</w:t>
      </w:r>
      <w:r>
        <w:rPr>
          <w:rFonts w:eastAsia="仿宋_GB2312" w:hint="eastAsia"/>
          <w:sz w:val="32"/>
          <w:szCs w:val="32"/>
        </w:rPr>
        <w:t>万元，占</w:t>
      </w:r>
      <w:r>
        <w:rPr>
          <w:rFonts w:eastAsia="仿宋_GB2312" w:hint="eastAsia"/>
          <w:sz w:val="32"/>
          <w:szCs w:val="32"/>
        </w:rPr>
        <w:t>30.47</w:t>
      </w:r>
      <w:r>
        <w:rPr>
          <w:rFonts w:eastAsia="仿宋_GB2312"/>
          <w:sz w:val="32"/>
          <w:szCs w:val="32"/>
        </w:rPr>
        <w:t>%</w:t>
      </w:r>
      <w:r>
        <w:rPr>
          <w:rFonts w:eastAsia="仿宋_GB2312" w:hint="eastAsia"/>
          <w:sz w:val="32"/>
          <w:szCs w:val="32"/>
        </w:rPr>
        <w:t>；公务接待费支出决算</w:t>
      </w:r>
      <w:r>
        <w:rPr>
          <w:rFonts w:eastAsia="仿宋_GB2312" w:hint="eastAsia"/>
          <w:sz w:val="32"/>
          <w:szCs w:val="32"/>
        </w:rPr>
        <w:t>39.37</w:t>
      </w:r>
      <w:r>
        <w:rPr>
          <w:rFonts w:eastAsia="仿宋_GB2312" w:hint="eastAsia"/>
          <w:sz w:val="32"/>
          <w:szCs w:val="32"/>
        </w:rPr>
        <w:t>万元，占</w:t>
      </w:r>
      <w:r>
        <w:rPr>
          <w:rFonts w:eastAsia="仿宋_GB2312" w:hint="eastAsia"/>
          <w:sz w:val="32"/>
          <w:szCs w:val="32"/>
        </w:rPr>
        <w:t>69.53</w:t>
      </w:r>
      <w:r>
        <w:rPr>
          <w:rFonts w:eastAsia="仿宋_GB2312"/>
          <w:sz w:val="32"/>
          <w:szCs w:val="32"/>
        </w:rPr>
        <w:t>%</w:t>
      </w:r>
      <w:r>
        <w:rPr>
          <w:rFonts w:eastAsia="仿宋_GB2312" w:hint="eastAsia"/>
          <w:sz w:val="32"/>
          <w:szCs w:val="32"/>
        </w:rPr>
        <w:t>。具体情况如下：</w:t>
      </w:r>
    </w:p>
    <w:p w:rsidR="00AB5B23" w:rsidRPr="00AB5B23" w:rsidRDefault="00AB5B23" w:rsidP="00AB5B23">
      <w:pPr>
        <w:pStyle w:val="a0"/>
        <w:spacing w:before="93"/>
      </w:pPr>
      <w:r>
        <w:rPr>
          <w:noProof/>
        </w:rPr>
        <w:drawing>
          <wp:inline distT="0" distB="0" distL="0" distR="0">
            <wp:extent cx="5274310" cy="2218099"/>
            <wp:effectExtent l="0" t="0" r="0" b="0"/>
            <wp:docPr id="9" name="Chart 9">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2A6471E-2218-4227-8161-3F03CCC462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377EC" w:rsidRDefault="00F95364">
      <w:pPr>
        <w:spacing w:line="600" w:lineRule="exact"/>
        <w:ind w:firstLine="640"/>
        <w:rPr>
          <w:rFonts w:eastAsia="仿宋_GB2312"/>
          <w:b/>
          <w:sz w:val="32"/>
          <w:szCs w:val="32"/>
        </w:rPr>
      </w:pPr>
      <w:r>
        <w:rPr>
          <w:rFonts w:eastAsia="仿宋_GB2312"/>
          <w:b/>
          <w:sz w:val="32"/>
          <w:szCs w:val="32"/>
        </w:rPr>
        <w:lastRenderedPageBreak/>
        <w:t>1.</w:t>
      </w:r>
      <w:r>
        <w:rPr>
          <w:rFonts w:eastAsia="仿宋_GB2312"/>
          <w:b/>
          <w:sz w:val="32"/>
          <w:szCs w:val="32"/>
        </w:rPr>
        <w:t>因公出国（境）经费支出</w:t>
      </w:r>
      <w:r>
        <w:rPr>
          <w:rFonts w:eastAsia="仿宋_GB2312"/>
          <w:sz w:val="32"/>
          <w:szCs w:val="32"/>
        </w:rPr>
        <w:t>0</w:t>
      </w:r>
      <w:r>
        <w:rPr>
          <w:rFonts w:eastAsia="仿宋_GB2312"/>
          <w:sz w:val="32"/>
          <w:szCs w:val="32"/>
        </w:rPr>
        <w:t>万元，</w:t>
      </w:r>
      <w:r>
        <w:rPr>
          <w:rStyle w:val="a7"/>
          <w:rFonts w:eastAsia="仿宋_GB2312"/>
          <w:b w:val="0"/>
          <w:bCs/>
          <w:sz w:val="32"/>
          <w:szCs w:val="32"/>
        </w:rPr>
        <w:t>完成预算</w:t>
      </w:r>
      <w:r>
        <w:rPr>
          <w:rStyle w:val="a7"/>
          <w:rFonts w:eastAsia="仿宋_GB2312"/>
          <w:b w:val="0"/>
          <w:bCs/>
          <w:sz w:val="32"/>
          <w:szCs w:val="32"/>
        </w:rPr>
        <w:t>0%</w:t>
      </w:r>
      <w:r>
        <w:rPr>
          <w:rStyle w:val="a7"/>
          <w:rFonts w:eastAsia="仿宋_GB2312"/>
          <w:b w:val="0"/>
          <w:bCs/>
          <w:sz w:val="32"/>
          <w:szCs w:val="32"/>
        </w:rPr>
        <w:t>。</w:t>
      </w:r>
      <w:r>
        <w:rPr>
          <w:rFonts w:eastAsia="仿宋_GB2312"/>
          <w:sz w:val="32"/>
          <w:szCs w:val="32"/>
        </w:rPr>
        <w:t>全年安排因公出国（境）团组</w:t>
      </w:r>
      <w:r>
        <w:rPr>
          <w:rFonts w:eastAsia="仿宋_GB2312"/>
          <w:sz w:val="32"/>
          <w:szCs w:val="32"/>
        </w:rPr>
        <w:t>0</w:t>
      </w:r>
      <w:r>
        <w:rPr>
          <w:rFonts w:eastAsia="仿宋_GB2312"/>
          <w:sz w:val="32"/>
          <w:szCs w:val="32"/>
        </w:rPr>
        <w:t>次，出国（境）</w:t>
      </w:r>
      <w:r>
        <w:rPr>
          <w:rFonts w:eastAsia="仿宋_GB2312"/>
          <w:sz w:val="32"/>
          <w:szCs w:val="32"/>
        </w:rPr>
        <w:t>0</w:t>
      </w:r>
      <w:r>
        <w:rPr>
          <w:rFonts w:eastAsia="仿宋_GB2312"/>
          <w:sz w:val="32"/>
          <w:szCs w:val="32"/>
        </w:rPr>
        <w:t>人。因公出国（境）支出决算与</w:t>
      </w:r>
      <w:r>
        <w:rPr>
          <w:rFonts w:eastAsia="仿宋_GB2312"/>
          <w:sz w:val="32"/>
          <w:szCs w:val="32"/>
        </w:rPr>
        <w:t>2020</w:t>
      </w:r>
      <w:r>
        <w:rPr>
          <w:rFonts w:eastAsia="仿宋_GB2312"/>
          <w:sz w:val="32"/>
          <w:szCs w:val="32"/>
        </w:rPr>
        <w:t>年持平。</w:t>
      </w:r>
    </w:p>
    <w:p w:rsidR="00B377EC" w:rsidRDefault="00F95364">
      <w:pPr>
        <w:spacing w:line="600" w:lineRule="exact"/>
        <w:ind w:firstLine="640"/>
        <w:rPr>
          <w:rFonts w:eastAsia="仿宋_GB2312"/>
          <w:b/>
          <w:sz w:val="32"/>
          <w:szCs w:val="32"/>
        </w:rPr>
      </w:pPr>
      <w:r>
        <w:rPr>
          <w:rFonts w:eastAsia="仿宋_GB2312"/>
          <w:b/>
          <w:sz w:val="32"/>
          <w:szCs w:val="32"/>
        </w:rPr>
        <w:t>2.</w:t>
      </w:r>
      <w:r>
        <w:rPr>
          <w:rFonts w:eastAsia="仿宋_GB2312"/>
          <w:b/>
          <w:sz w:val="32"/>
          <w:szCs w:val="32"/>
        </w:rPr>
        <w:t>公务用车购置及运行维护费支出</w:t>
      </w:r>
      <w:r>
        <w:rPr>
          <w:rFonts w:eastAsia="仿宋_GB2312"/>
          <w:sz w:val="32"/>
          <w:szCs w:val="32"/>
        </w:rPr>
        <w:t>17.25</w:t>
      </w:r>
      <w:r>
        <w:rPr>
          <w:rFonts w:eastAsia="仿宋_GB2312"/>
          <w:sz w:val="32"/>
          <w:szCs w:val="32"/>
        </w:rPr>
        <w:t>万元</w:t>
      </w:r>
      <w:r>
        <w:rPr>
          <w:rFonts w:eastAsia="仿宋_GB2312"/>
          <w:sz w:val="32"/>
          <w:szCs w:val="32"/>
        </w:rPr>
        <w:t>,</w:t>
      </w:r>
      <w:r>
        <w:rPr>
          <w:rStyle w:val="a7"/>
          <w:rFonts w:eastAsia="仿宋_GB2312"/>
          <w:b w:val="0"/>
          <w:bCs/>
          <w:sz w:val="32"/>
          <w:szCs w:val="32"/>
        </w:rPr>
        <w:t>完成预算</w:t>
      </w:r>
      <w:r>
        <w:rPr>
          <w:rStyle w:val="a7"/>
          <w:rFonts w:eastAsia="仿宋_GB2312"/>
          <w:b w:val="0"/>
          <w:bCs/>
          <w:sz w:val="32"/>
          <w:szCs w:val="32"/>
        </w:rPr>
        <w:t>95.83%</w:t>
      </w:r>
      <w:r>
        <w:rPr>
          <w:rStyle w:val="a7"/>
          <w:rFonts w:eastAsia="仿宋_GB2312"/>
          <w:b w:val="0"/>
          <w:bCs/>
          <w:sz w:val="32"/>
          <w:szCs w:val="32"/>
        </w:rPr>
        <w:t>。</w:t>
      </w:r>
      <w:r>
        <w:rPr>
          <w:rFonts w:eastAsia="仿宋_GB2312"/>
          <w:sz w:val="32"/>
          <w:szCs w:val="32"/>
        </w:rPr>
        <w:t>公务用车购置及运行维护费支出决算比</w:t>
      </w:r>
      <w:r>
        <w:rPr>
          <w:rFonts w:eastAsia="仿宋_GB2312"/>
          <w:sz w:val="32"/>
          <w:szCs w:val="32"/>
        </w:rPr>
        <w:t>2020</w:t>
      </w:r>
      <w:r>
        <w:rPr>
          <w:rFonts w:eastAsia="仿宋_GB2312"/>
          <w:sz w:val="32"/>
          <w:szCs w:val="32"/>
        </w:rPr>
        <w:t>年增加</w:t>
      </w:r>
      <w:r>
        <w:rPr>
          <w:rFonts w:eastAsia="仿宋_GB2312"/>
          <w:sz w:val="32"/>
          <w:szCs w:val="32"/>
        </w:rPr>
        <w:t>2.14</w:t>
      </w:r>
      <w:r>
        <w:rPr>
          <w:rFonts w:eastAsia="仿宋_GB2312"/>
          <w:sz w:val="32"/>
          <w:szCs w:val="32"/>
        </w:rPr>
        <w:t>万元，增长</w:t>
      </w:r>
      <w:r>
        <w:rPr>
          <w:rFonts w:eastAsia="仿宋_GB2312"/>
          <w:sz w:val="32"/>
          <w:szCs w:val="32"/>
        </w:rPr>
        <w:t>14.16%</w:t>
      </w:r>
      <w:r>
        <w:rPr>
          <w:rFonts w:eastAsia="仿宋_GB2312"/>
          <w:sz w:val="32"/>
          <w:szCs w:val="32"/>
        </w:rPr>
        <w:t>。主要原因是车辆燃油费、车辆保险费等支出增加。</w:t>
      </w:r>
    </w:p>
    <w:p w:rsidR="00B377EC" w:rsidRDefault="00F95364">
      <w:pPr>
        <w:spacing w:line="600" w:lineRule="exact"/>
        <w:ind w:firstLineChars="200" w:firstLine="640"/>
        <w:rPr>
          <w:rFonts w:eastAsia="仿宋_GB2312"/>
          <w:b/>
          <w:sz w:val="32"/>
          <w:szCs w:val="32"/>
        </w:rPr>
      </w:pPr>
      <w:r>
        <w:rPr>
          <w:rFonts w:eastAsia="仿宋_GB2312"/>
          <w:sz w:val="32"/>
          <w:szCs w:val="32"/>
        </w:rPr>
        <w:t>其中：</w:t>
      </w:r>
      <w:r>
        <w:rPr>
          <w:rFonts w:eastAsia="仿宋_GB2312"/>
          <w:b/>
          <w:sz w:val="32"/>
          <w:szCs w:val="32"/>
        </w:rPr>
        <w:t>公务用车购置支出</w:t>
      </w:r>
      <w:r>
        <w:rPr>
          <w:rFonts w:eastAsia="仿宋_GB2312"/>
          <w:sz w:val="32"/>
          <w:szCs w:val="32"/>
        </w:rPr>
        <w:t>0</w:t>
      </w:r>
      <w:r>
        <w:rPr>
          <w:rFonts w:eastAsia="仿宋_GB2312"/>
          <w:sz w:val="32"/>
          <w:szCs w:val="32"/>
        </w:rPr>
        <w:t>万元。全年按规定更新购置公务用车</w:t>
      </w:r>
      <w:r>
        <w:rPr>
          <w:rFonts w:eastAsia="仿宋_GB2312"/>
          <w:sz w:val="32"/>
          <w:szCs w:val="32"/>
        </w:rPr>
        <w:t>0</w:t>
      </w:r>
      <w:r>
        <w:rPr>
          <w:rFonts w:eastAsia="仿宋_GB2312"/>
          <w:sz w:val="32"/>
          <w:szCs w:val="32"/>
        </w:rPr>
        <w:t>辆，其中：轿车</w:t>
      </w:r>
      <w:r>
        <w:rPr>
          <w:rFonts w:eastAsia="仿宋_GB2312"/>
          <w:sz w:val="32"/>
          <w:szCs w:val="32"/>
        </w:rPr>
        <w:t>0</w:t>
      </w:r>
      <w:r>
        <w:rPr>
          <w:rFonts w:eastAsia="仿宋_GB2312"/>
          <w:sz w:val="32"/>
          <w:szCs w:val="32"/>
        </w:rPr>
        <w:t>辆、金额</w:t>
      </w:r>
      <w:r>
        <w:rPr>
          <w:rFonts w:eastAsia="仿宋_GB2312"/>
          <w:sz w:val="32"/>
          <w:szCs w:val="32"/>
        </w:rPr>
        <w:t>0</w:t>
      </w:r>
      <w:r>
        <w:rPr>
          <w:rFonts w:eastAsia="仿宋_GB2312"/>
          <w:sz w:val="32"/>
          <w:szCs w:val="32"/>
        </w:rPr>
        <w:t>万元，越野车</w:t>
      </w:r>
      <w:r>
        <w:rPr>
          <w:rFonts w:eastAsia="仿宋_GB2312"/>
          <w:sz w:val="32"/>
          <w:szCs w:val="32"/>
        </w:rPr>
        <w:t>0</w:t>
      </w:r>
      <w:r>
        <w:rPr>
          <w:rFonts w:eastAsia="仿宋_GB2312"/>
          <w:sz w:val="32"/>
          <w:szCs w:val="32"/>
        </w:rPr>
        <w:t>辆、金额</w:t>
      </w:r>
      <w:r>
        <w:rPr>
          <w:rFonts w:eastAsia="仿宋_GB2312"/>
          <w:sz w:val="32"/>
          <w:szCs w:val="32"/>
        </w:rPr>
        <w:t>0</w:t>
      </w:r>
      <w:r>
        <w:rPr>
          <w:rFonts w:eastAsia="仿宋_GB2312"/>
          <w:sz w:val="32"/>
          <w:szCs w:val="32"/>
        </w:rPr>
        <w:t>万元，载客汽车</w:t>
      </w:r>
      <w:r>
        <w:rPr>
          <w:rFonts w:eastAsia="仿宋_GB2312"/>
          <w:sz w:val="32"/>
          <w:szCs w:val="32"/>
        </w:rPr>
        <w:t>0</w:t>
      </w:r>
      <w:r>
        <w:rPr>
          <w:rFonts w:eastAsia="仿宋_GB2312"/>
          <w:sz w:val="32"/>
          <w:szCs w:val="32"/>
        </w:rPr>
        <w:t>辆、金额</w:t>
      </w:r>
      <w:r>
        <w:rPr>
          <w:rFonts w:eastAsia="仿宋_GB2312"/>
          <w:sz w:val="32"/>
          <w:szCs w:val="32"/>
        </w:rPr>
        <w:t>0</w:t>
      </w:r>
      <w:r>
        <w:rPr>
          <w:rFonts w:eastAsia="仿宋_GB2312"/>
          <w:sz w:val="32"/>
          <w:szCs w:val="32"/>
        </w:rPr>
        <w:t>万元。截至</w:t>
      </w:r>
      <w:r>
        <w:rPr>
          <w:rFonts w:eastAsia="仿宋_GB2312"/>
          <w:sz w:val="32"/>
          <w:szCs w:val="32"/>
        </w:rPr>
        <w:t>2021</w:t>
      </w:r>
      <w:r>
        <w:rPr>
          <w:rFonts w:eastAsia="仿宋_GB2312"/>
          <w:sz w:val="32"/>
          <w:szCs w:val="32"/>
        </w:rPr>
        <w:t>年</w:t>
      </w:r>
      <w:r>
        <w:rPr>
          <w:rFonts w:eastAsia="仿宋_GB2312"/>
          <w:sz w:val="32"/>
          <w:szCs w:val="32"/>
        </w:rPr>
        <w:t>12</w:t>
      </w:r>
      <w:r>
        <w:rPr>
          <w:rFonts w:eastAsia="仿宋_GB2312"/>
          <w:sz w:val="32"/>
          <w:szCs w:val="32"/>
        </w:rPr>
        <w:t>月底，单位共有公务用车</w:t>
      </w:r>
      <w:r>
        <w:rPr>
          <w:rFonts w:eastAsia="仿宋_GB2312"/>
          <w:sz w:val="32"/>
          <w:szCs w:val="32"/>
        </w:rPr>
        <w:t>6</w:t>
      </w:r>
      <w:r>
        <w:rPr>
          <w:rFonts w:eastAsia="仿宋_GB2312"/>
          <w:sz w:val="32"/>
          <w:szCs w:val="32"/>
        </w:rPr>
        <w:t>辆，其中：轿车</w:t>
      </w:r>
      <w:r>
        <w:rPr>
          <w:rFonts w:eastAsia="仿宋_GB2312"/>
          <w:sz w:val="32"/>
          <w:szCs w:val="32"/>
        </w:rPr>
        <w:t>3</w:t>
      </w:r>
      <w:r>
        <w:rPr>
          <w:rFonts w:eastAsia="仿宋_GB2312"/>
          <w:sz w:val="32"/>
          <w:szCs w:val="32"/>
        </w:rPr>
        <w:t>辆、越野车</w:t>
      </w:r>
      <w:r>
        <w:rPr>
          <w:rFonts w:eastAsia="仿宋_GB2312"/>
          <w:sz w:val="32"/>
          <w:szCs w:val="32"/>
        </w:rPr>
        <w:t>1</w:t>
      </w:r>
      <w:r>
        <w:rPr>
          <w:rFonts w:eastAsia="仿宋_GB2312"/>
          <w:sz w:val="32"/>
          <w:szCs w:val="32"/>
        </w:rPr>
        <w:t>辆、商务车</w:t>
      </w:r>
      <w:r>
        <w:rPr>
          <w:rFonts w:eastAsia="仿宋_GB2312"/>
          <w:sz w:val="32"/>
          <w:szCs w:val="32"/>
        </w:rPr>
        <w:t>1</w:t>
      </w:r>
      <w:r>
        <w:rPr>
          <w:rFonts w:eastAsia="仿宋_GB2312"/>
          <w:sz w:val="32"/>
          <w:szCs w:val="32"/>
        </w:rPr>
        <w:t>辆、载客汽车</w:t>
      </w:r>
      <w:r>
        <w:rPr>
          <w:rFonts w:eastAsia="仿宋_GB2312"/>
          <w:sz w:val="32"/>
          <w:szCs w:val="32"/>
        </w:rPr>
        <w:t>1</w:t>
      </w:r>
      <w:r>
        <w:rPr>
          <w:rFonts w:eastAsia="仿宋_GB2312"/>
          <w:sz w:val="32"/>
          <w:szCs w:val="32"/>
        </w:rPr>
        <w:t>辆。</w:t>
      </w:r>
    </w:p>
    <w:p w:rsidR="00B377EC" w:rsidRDefault="00F95364">
      <w:pPr>
        <w:spacing w:line="600" w:lineRule="exact"/>
        <w:ind w:firstLine="640"/>
        <w:rPr>
          <w:rFonts w:eastAsia="仿宋_GB2312"/>
          <w:sz w:val="32"/>
          <w:szCs w:val="32"/>
        </w:rPr>
      </w:pPr>
      <w:r>
        <w:rPr>
          <w:rFonts w:eastAsia="仿宋_GB2312"/>
          <w:b/>
          <w:sz w:val="32"/>
          <w:szCs w:val="32"/>
        </w:rPr>
        <w:t>公务用车运行维护费支出</w:t>
      </w:r>
      <w:r>
        <w:rPr>
          <w:rFonts w:eastAsia="仿宋_GB2312"/>
          <w:sz w:val="32"/>
          <w:szCs w:val="32"/>
        </w:rPr>
        <w:t>17.25</w:t>
      </w:r>
      <w:r>
        <w:rPr>
          <w:rFonts w:eastAsia="仿宋_GB2312"/>
          <w:sz w:val="32"/>
          <w:szCs w:val="32"/>
        </w:rPr>
        <w:t>万元。主要用于开展招商引资、劳务慰问工作等所需的公务用车燃料费、维修费、过路过桥费、保险费等支出。</w:t>
      </w:r>
    </w:p>
    <w:p w:rsidR="00B377EC" w:rsidRDefault="00F95364">
      <w:pPr>
        <w:spacing w:line="600" w:lineRule="exact"/>
        <w:ind w:firstLine="640"/>
        <w:rPr>
          <w:rFonts w:eastAsia="仿宋_GB2312"/>
          <w:sz w:val="32"/>
          <w:szCs w:val="32"/>
        </w:rPr>
      </w:pPr>
      <w:r>
        <w:rPr>
          <w:rFonts w:eastAsia="仿宋_GB2312"/>
          <w:b/>
          <w:sz w:val="32"/>
          <w:szCs w:val="32"/>
        </w:rPr>
        <w:t>3.</w:t>
      </w:r>
      <w:r>
        <w:rPr>
          <w:rFonts w:eastAsia="仿宋_GB2312"/>
          <w:b/>
          <w:sz w:val="32"/>
          <w:szCs w:val="32"/>
        </w:rPr>
        <w:t>公务接待费支出</w:t>
      </w:r>
      <w:r>
        <w:rPr>
          <w:rFonts w:eastAsia="仿宋_GB2312"/>
          <w:sz w:val="32"/>
          <w:szCs w:val="32"/>
        </w:rPr>
        <w:t>39.37</w:t>
      </w:r>
      <w:r>
        <w:rPr>
          <w:rFonts w:eastAsia="仿宋_GB2312"/>
          <w:sz w:val="32"/>
          <w:szCs w:val="32"/>
        </w:rPr>
        <w:t>万元，</w:t>
      </w:r>
      <w:r>
        <w:rPr>
          <w:rStyle w:val="a7"/>
          <w:rFonts w:eastAsia="仿宋_GB2312"/>
          <w:b w:val="0"/>
          <w:bCs/>
          <w:sz w:val="32"/>
          <w:szCs w:val="32"/>
        </w:rPr>
        <w:t>完成预算</w:t>
      </w:r>
      <w:r>
        <w:rPr>
          <w:rStyle w:val="a7"/>
          <w:rFonts w:eastAsia="仿宋_GB2312"/>
          <w:b w:val="0"/>
          <w:bCs/>
          <w:sz w:val="32"/>
          <w:szCs w:val="32"/>
        </w:rPr>
        <w:t>87.49%</w:t>
      </w:r>
      <w:r>
        <w:rPr>
          <w:rStyle w:val="a7"/>
          <w:rFonts w:eastAsia="仿宋_GB2312"/>
          <w:b w:val="0"/>
          <w:bCs/>
          <w:sz w:val="32"/>
          <w:szCs w:val="32"/>
        </w:rPr>
        <w:t>。</w:t>
      </w:r>
      <w:r>
        <w:rPr>
          <w:rFonts w:eastAsia="仿宋_GB2312"/>
          <w:sz w:val="32"/>
          <w:szCs w:val="32"/>
        </w:rPr>
        <w:t>公务接待费支出决算比</w:t>
      </w:r>
      <w:r>
        <w:rPr>
          <w:rFonts w:eastAsia="仿宋_GB2312"/>
          <w:sz w:val="32"/>
          <w:szCs w:val="32"/>
        </w:rPr>
        <w:t>2020</w:t>
      </w:r>
      <w:r>
        <w:rPr>
          <w:rFonts w:eastAsia="仿宋_GB2312"/>
          <w:sz w:val="32"/>
          <w:szCs w:val="32"/>
        </w:rPr>
        <w:t>年增加</w:t>
      </w:r>
      <w:r>
        <w:rPr>
          <w:rFonts w:eastAsia="仿宋_GB2312"/>
          <w:sz w:val="32"/>
          <w:szCs w:val="32"/>
        </w:rPr>
        <w:t>6.48</w:t>
      </w:r>
      <w:r>
        <w:rPr>
          <w:rFonts w:eastAsia="仿宋_GB2312"/>
          <w:sz w:val="32"/>
          <w:szCs w:val="32"/>
        </w:rPr>
        <w:t>万元，增长</w:t>
      </w:r>
      <w:r>
        <w:rPr>
          <w:rFonts w:eastAsia="仿宋_GB2312"/>
          <w:sz w:val="32"/>
          <w:szCs w:val="32"/>
        </w:rPr>
        <w:t>19.7%</w:t>
      </w:r>
      <w:r>
        <w:rPr>
          <w:rFonts w:eastAsia="仿宋_GB2312"/>
          <w:sz w:val="32"/>
          <w:szCs w:val="32"/>
        </w:rPr>
        <w:t>。主要原因是新冠肺炎疫情较上年缓解，增加投资促进接待支出。其中：</w:t>
      </w:r>
    </w:p>
    <w:p w:rsidR="00B377EC" w:rsidRDefault="00F95364">
      <w:pPr>
        <w:spacing w:line="600" w:lineRule="exact"/>
        <w:ind w:firstLine="640"/>
        <w:rPr>
          <w:rFonts w:eastAsia="仿宋_GB2312"/>
          <w:sz w:val="32"/>
          <w:szCs w:val="32"/>
        </w:rPr>
      </w:pPr>
      <w:r>
        <w:rPr>
          <w:rFonts w:eastAsia="仿宋_GB2312"/>
          <w:b/>
          <w:sz w:val="32"/>
          <w:szCs w:val="32"/>
        </w:rPr>
        <w:t>国内公务接待支出</w:t>
      </w:r>
      <w:r>
        <w:rPr>
          <w:rFonts w:eastAsia="仿宋_GB2312"/>
          <w:sz w:val="32"/>
          <w:szCs w:val="32"/>
        </w:rPr>
        <w:t>39.37</w:t>
      </w:r>
      <w:r>
        <w:rPr>
          <w:rFonts w:eastAsia="仿宋_GB2312"/>
          <w:sz w:val="32"/>
          <w:szCs w:val="32"/>
        </w:rPr>
        <w:t>万元，主要用于投资促进活动、执行公务、开展业务活动开支的交通费、住宿费、用餐费等。国内公务接待</w:t>
      </w:r>
      <w:r>
        <w:rPr>
          <w:rFonts w:eastAsia="仿宋_GB2312"/>
          <w:sz w:val="32"/>
          <w:szCs w:val="32"/>
        </w:rPr>
        <w:t>219</w:t>
      </w:r>
      <w:r>
        <w:rPr>
          <w:rFonts w:eastAsia="仿宋_GB2312"/>
          <w:sz w:val="32"/>
          <w:szCs w:val="32"/>
        </w:rPr>
        <w:t>批次，</w:t>
      </w:r>
      <w:r>
        <w:rPr>
          <w:rFonts w:eastAsia="仿宋_GB2312"/>
          <w:sz w:val="32"/>
          <w:szCs w:val="32"/>
        </w:rPr>
        <w:t>2625</w:t>
      </w:r>
      <w:r>
        <w:rPr>
          <w:rFonts w:eastAsia="仿宋_GB2312"/>
          <w:sz w:val="32"/>
          <w:szCs w:val="32"/>
        </w:rPr>
        <w:t>人次（不包括陪同人员），共计支出</w:t>
      </w:r>
      <w:r>
        <w:rPr>
          <w:rFonts w:eastAsia="仿宋_GB2312"/>
          <w:sz w:val="32"/>
          <w:szCs w:val="32"/>
        </w:rPr>
        <w:t>39.37</w:t>
      </w:r>
      <w:r>
        <w:rPr>
          <w:rFonts w:eastAsia="仿宋_GB2312"/>
          <w:sz w:val="32"/>
          <w:szCs w:val="32"/>
        </w:rPr>
        <w:t>万元，具体内容包括：举办</w:t>
      </w:r>
      <w:r>
        <w:rPr>
          <w:rFonts w:eastAsia="仿宋_GB2312"/>
          <w:sz w:val="32"/>
          <w:szCs w:val="32"/>
        </w:rPr>
        <w:t>2021</w:t>
      </w:r>
      <w:r>
        <w:rPr>
          <w:rFonts w:eastAsia="仿宋_GB2312"/>
          <w:sz w:val="32"/>
          <w:szCs w:val="32"/>
        </w:rPr>
        <w:t>年中外企业四</w:t>
      </w:r>
      <w:r>
        <w:rPr>
          <w:rFonts w:eastAsia="仿宋_GB2312"/>
          <w:sz w:val="32"/>
          <w:szCs w:val="32"/>
        </w:rPr>
        <w:lastRenderedPageBreak/>
        <w:t>川行、第十八届西博会等系列重大投资促进活动，以及川商返乡开展投资促进活动的客商接待。</w:t>
      </w:r>
    </w:p>
    <w:p w:rsidR="00B377EC" w:rsidRDefault="00F95364" w:rsidP="00D74874">
      <w:pPr>
        <w:spacing w:line="600" w:lineRule="exact"/>
        <w:ind w:firstLineChars="200" w:firstLine="640"/>
        <w:rPr>
          <w:rFonts w:eastAsia="仿宋_GB2312"/>
          <w:sz w:val="32"/>
          <w:szCs w:val="32"/>
        </w:rPr>
      </w:pPr>
      <w:r>
        <w:rPr>
          <w:rFonts w:eastAsia="仿宋_GB2312"/>
          <w:b/>
          <w:sz w:val="32"/>
          <w:szCs w:val="32"/>
        </w:rPr>
        <w:t>外事接待支出</w:t>
      </w:r>
      <w:r>
        <w:rPr>
          <w:rFonts w:eastAsia="仿宋_GB2312"/>
          <w:sz w:val="32"/>
          <w:szCs w:val="32"/>
        </w:rPr>
        <w:t>0</w:t>
      </w:r>
      <w:r>
        <w:rPr>
          <w:rFonts w:eastAsia="仿宋_GB2312"/>
          <w:sz w:val="32"/>
          <w:szCs w:val="32"/>
        </w:rPr>
        <w:t>万元。</w:t>
      </w:r>
    </w:p>
    <w:p w:rsidR="00B377EC" w:rsidRDefault="00F95364">
      <w:pPr>
        <w:spacing w:line="600" w:lineRule="exact"/>
        <w:ind w:firstLineChars="200" w:firstLine="640"/>
        <w:outlineLvl w:val="1"/>
        <w:rPr>
          <w:rStyle w:val="2Char"/>
          <w:rFonts w:ascii="黑体" w:eastAsia="黑体" w:hAnsi="黑体" w:cs="黑体"/>
        </w:rPr>
      </w:pPr>
      <w:bookmarkStart w:id="56" w:name="_Toc15377218"/>
      <w:bookmarkStart w:id="57" w:name="_Toc15396610"/>
      <w:bookmarkStart w:id="58" w:name="_Toc113284436"/>
      <w:r>
        <w:rPr>
          <w:rFonts w:ascii="黑体" w:eastAsia="黑体" w:hAnsi="黑体" w:cs="黑体" w:hint="eastAsia"/>
          <w:sz w:val="32"/>
          <w:szCs w:val="32"/>
        </w:rPr>
        <w:t>八、</w:t>
      </w:r>
      <w:r>
        <w:rPr>
          <w:rStyle w:val="2Char"/>
          <w:rFonts w:ascii="黑体" w:eastAsia="黑体" w:hAnsi="黑体" w:cs="黑体" w:hint="eastAsia"/>
          <w:b w:val="0"/>
        </w:rPr>
        <w:t>政府性基金预算支出决算情况说明</w:t>
      </w:r>
      <w:bookmarkEnd w:id="56"/>
      <w:bookmarkEnd w:id="57"/>
      <w:bookmarkEnd w:id="58"/>
    </w:p>
    <w:p w:rsidR="00B377EC" w:rsidRDefault="00F95364">
      <w:pPr>
        <w:spacing w:line="600" w:lineRule="exact"/>
        <w:ind w:firstLine="640"/>
        <w:rPr>
          <w:rFonts w:eastAsia="仿宋_GB2312"/>
          <w:sz w:val="32"/>
          <w:szCs w:val="32"/>
        </w:rPr>
      </w:pPr>
      <w:r>
        <w:rPr>
          <w:rFonts w:eastAsia="仿宋_GB2312"/>
          <w:sz w:val="32"/>
          <w:szCs w:val="32"/>
        </w:rPr>
        <w:t>20</w:t>
      </w:r>
      <w:r>
        <w:rPr>
          <w:rFonts w:eastAsia="仿宋_GB2312" w:hint="eastAsia"/>
          <w:sz w:val="32"/>
          <w:szCs w:val="32"/>
        </w:rPr>
        <w:t>21</w:t>
      </w:r>
      <w:r>
        <w:rPr>
          <w:rFonts w:eastAsia="仿宋_GB2312" w:hint="eastAsia"/>
          <w:sz w:val="32"/>
          <w:szCs w:val="32"/>
        </w:rPr>
        <w:t>年政府性基金预算财政拨款支出</w:t>
      </w:r>
      <w:r>
        <w:rPr>
          <w:rFonts w:eastAsia="仿宋_GB2312" w:hint="eastAsia"/>
          <w:sz w:val="32"/>
          <w:szCs w:val="32"/>
        </w:rPr>
        <w:t>0</w:t>
      </w:r>
      <w:r>
        <w:rPr>
          <w:rFonts w:eastAsia="仿宋_GB2312" w:hint="eastAsia"/>
          <w:sz w:val="32"/>
          <w:szCs w:val="32"/>
        </w:rPr>
        <w:t>万元。</w:t>
      </w:r>
    </w:p>
    <w:p w:rsidR="00B377EC" w:rsidRDefault="00F95364">
      <w:pPr>
        <w:spacing w:line="600" w:lineRule="exact"/>
        <w:ind w:firstLineChars="200" w:firstLine="640"/>
        <w:outlineLvl w:val="1"/>
        <w:rPr>
          <w:rFonts w:ascii="黑体" w:eastAsia="黑体" w:hAnsi="黑体" w:cs="黑体"/>
          <w:sz w:val="32"/>
          <w:szCs w:val="32"/>
        </w:rPr>
      </w:pPr>
      <w:bookmarkStart w:id="59" w:name="_Toc15377219"/>
      <w:bookmarkStart w:id="60" w:name="_Toc15396611"/>
      <w:bookmarkStart w:id="61" w:name="_Toc113284437"/>
      <w:r>
        <w:rPr>
          <w:rFonts w:ascii="黑体" w:eastAsia="黑体" w:hAnsi="黑体" w:cs="黑体" w:hint="eastAsia"/>
          <w:sz w:val="32"/>
          <w:szCs w:val="32"/>
        </w:rPr>
        <w:t>九、国有资本经营预算支出决算情况说明</w:t>
      </w:r>
      <w:bookmarkEnd w:id="59"/>
      <w:bookmarkEnd w:id="60"/>
      <w:bookmarkEnd w:id="61"/>
    </w:p>
    <w:p w:rsidR="00B377EC" w:rsidRDefault="00F95364">
      <w:pPr>
        <w:spacing w:line="600" w:lineRule="exact"/>
        <w:ind w:firstLine="640"/>
        <w:rPr>
          <w:rFonts w:eastAsia="仿宋_GB2312"/>
          <w:sz w:val="32"/>
          <w:szCs w:val="32"/>
        </w:rPr>
      </w:pPr>
      <w:r>
        <w:rPr>
          <w:rFonts w:eastAsia="仿宋_GB2312"/>
          <w:sz w:val="32"/>
          <w:szCs w:val="32"/>
        </w:rPr>
        <w:t>20</w:t>
      </w:r>
      <w:r>
        <w:rPr>
          <w:rFonts w:eastAsia="仿宋_GB2312" w:hint="eastAsia"/>
          <w:sz w:val="32"/>
          <w:szCs w:val="32"/>
        </w:rPr>
        <w:t>21</w:t>
      </w:r>
      <w:r>
        <w:rPr>
          <w:rFonts w:eastAsia="仿宋_GB2312" w:hint="eastAsia"/>
          <w:sz w:val="32"/>
          <w:szCs w:val="32"/>
        </w:rPr>
        <w:t>年国有资本经营预算财政拨款支出</w:t>
      </w:r>
      <w:r>
        <w:rPr>
          <w:rFonts w:eastAsia="仿宋_GB2312" w:hint="eastAsia"/>
          <w:sz w:val="32"/>
          <w:szCs w:val="32"/>
        </w:rPr>
        <w:t>0</w:t>
      </w:r>
      <w:r>
        <w:rPr>
          <w:rFonts w:eastAsia="仿宋_GB2312" w:hint="eastAsia"/>
          <w:sz w:val="32"/>
          <w:szCs w:val="32"/>
        </w:rPr>
        <w:t>万元。</w:t>
      </w:r>
    </w:p>
    <w:p w:rsidR="00B377EC" w:rsidRDefault="00F95364">
      <w:pPr>
        <w:spacing w:line="600" w:lineRule="exact"/>
        <w:ind w:firstLineChars="200" w:firstLine="640"/>
        <w:outlineLvl w:val="1"/>
        <w:rPr>
          <w:rFonts w:ascii="黑体" w:eastAsia="黑体" w:hAnsi="黑体" w:cs="黑体"/>
          <w:sz w:val="32"/>
          <w:szCs w:val="32"/>
        </w:rPr>
      </w:pPr>
      <w:bookmarkStart w:id="62" w:name="_Toc15377221"/>
      <w:bookmarkStart w:id="63" w:name="_Toc15396612"/>
      <w:bookmarkStart w:id="64" w:name="_Toc113284438"/>
      <w:r>
        <w:rPr>
          <w:rFonts w:ascii="黑体" w:eastAsia="黑体" w:hAnsi="黑体" w:cs="黑体" w:hint="eastAsia"/>
          <w:sz w:val="32"/>
          <w:szCs w:val="32"/>
        </w:rPr>
        <w:t>十、其他重要事项的情况说明</w:t>
      </w:r>
      <w:bookmarkEnd w:id="62"/>
      <w:bookmarkEnd w:id="63"/>
      <w:bookmarkEnd w:id="64"/>
    </w:p>
    <w:p w:rsidR="00B377EC" w:rsidRDefault="00F95364" w:rsidP="00D74874">
      <w:pPr>
        <w:spacing w:line="600" w:lineRule="exact"/>
        <w:ind w:firstLineChars="200" w:firstLine="643"/>
        <w:outlineLvl w:val="2"/>
        <w:rPr>
          <w:rFonts w:ascii="楷体" w:eastAsia="楷体" w:hAnsi="楷体" w:cs="楷体"/>
          <w:sz w:val="32"/>
          <w:szCs w:val="32"/>
        </w:rPr>
      </w:pPr>
      <w:bookmarkStart w:id="65" w:name="_Toc15377222"/>
      <w:bookmarkStart w:id="66" w:name="_Toc113284439"/>
      <w:r>
        <w:rPr>
          <w:rFonts w:ascii="楷体" w:eastAsia="楷体" w:hAnsi="楷体" w:cs="楷体" w:hint="eastAsia"/>
          <w:b/>
          <w:sz w:val="32"/>
          <w:szCs w:val="32"/>
        </w:rPr>
        <w:t>（一）机关运行经费支出情况</w:t>
      </w:r>
      <w:bookmarkEnd w:id="65"/>
      <w:bookmarkEnd w:id="66"/>
    </w:p>
    <w:p w:rsidR="00B377EC" w:rsidRDefault="00F95364">
      <w:pPr>
        <w:spacing w:line="600" w:lineRule="exact"/>
        <w:ind w:firstLine="640"/>
        <w:rPr>
          <w:rFonts w:eastAsia="仿宋_GB2312"/>
          <w:sz w:val="32"/>
          <w:szCs w:val="32"/>
        </w:rPr>
      </w:pPr>
      <w:r>
        <w:rPr>
          <w:rFonts w:eastAsia="仿宋_GB2312"/>
          <w:sz w:val="32"/>
          <w:szCs w:val="32"/>
        </w:rPr>
        <w:t>20</w:t>
      </w:r>
      <w:r>
        <w:rPr>
          <w:rFonts w:eastAsia="仿宋_GB2312" w:hint="eastAsia"/>
          <w:sz w:val="32"/>
          <w:szCs w:val="32"/>
        </w:rPr>
        <w:t>21</w:t>
      </w:r>
      <w:r>
        <w:rPr>
          <w:rFonts w:eastAsia="仿宋_GB2312" w:hint="eastAsia"/>
          <w:sz w:val="32"/>
          <w:szCs w:val="32"/>
        </w:rPr>
        <w:t>年，</w:t>
      </w:r>
      <w:r w:rsidR="00FA29A6">
        <w:rPr>
          <w:rFonts w:eastAsia="仿宋_GB2312" w:hint="eastAsia"/>
          <w:sz w:val="32"/>
          <w:szCs w:val="32"/>
        </w:rPr>
        <w:t>四川驻沪办</w:t>
      </w:r>
      <w:r>
        <w:rPr>
          <w:rFonts w:eastAsia="仿宋_GB2312" w:hint="eastAsia"/>
          <w:sz w:val="32"/>
          <w:szCs w:val="32"/>
        </w:rPr>
        <w:t>机关运行经费支出</w:t>
      </w:r>
      <w:r>
        <w:rPr>
          <w:rFonts w:eastAsia="仿宋_GB2312" w:hint="eastAsia"/>
          <w:sz w:val="32"/>
          <w:szCs w:val="32"/>
        </w:rPr>
        <w:t>225.89</w:t>
      </w:r>
      <w:r>
        <w:rPr>
          <w:rFonts w:eastAsia="仿宋_GB2312" w:hint="eastAsia"/>
          <w:sz w:val="32"/>
          <w:szCs w:val="32"/>
        </w:rPr>
        <w:t>万元，比</w:t>
      </w:r>
      <w:r>
        <w:rPr>
          <w:rFonts w:eastAsia="仿宋_GB2312"/>
          <w:sz w:val="32"/>
          <w:szCs w:val="32"/>
        </w:rPr>
        <w:t>20</w:t>
      </w:r>
      <w:r>
        <w:rPr>
          <w:rFonts w:eastAsia="仿宋_GB2312" w:hint="eastAsia"/>
          <w:sz w:val="32"/>
          <w:szCs w:val="32"/>
        </w:rPr>
        <w:t>20</w:t>
      </w:r>
      <w:r>
        <w:rPr>
          <w:rFonts w:eastAsia="仿宋_GB2312" w:hint="eastAsia"/>
          <w:sz w:val="32"/>
          <w:szCs w:val="32"/>
        </w:rPr>
        <w:t>年增加</w:t>
      </w:r>
      <w:r>
        <w:rPr>
          <w:rFonts w:eastAsia="仿宋_GB2312" w:hint="eastAsia"/>
          <w:sz w:val="32"/>
          <w:szCs w:val="32"/>
        </w:rPr>
        <w:t>18.98</w:t>
      </w:r>
      <w:r>
        <w:rPr>
          <w:rFonts w:eastAsia="仿宋_GB2312" w:hint="eastAsia"/>
          <w:sz w:val="32"/>
          <w:szCs w:val="32"/>
        </w:rPr>
        <w:t>万元，增长</w:t>
      </w:r>
      <w:r>
        <w:rPr>
          <w:rFonts w:eastAsia="仿宋_GB2312" w:hint="eastAsia"/>
          <w:sz w:val="32"/>
          <w:szCs w:val="32"/>
        </w:rPr>
        <w:t>9.17</w:t>
      </w:r>
      <w:r>
        <w:rPr>
          <w:rFonts w:eastAsia="仿宋_GB2312"/>
          <w:sz w:val="32"/>
          <w:szCs w:val="32"/>
        </w:rPr>
        <w:t>%</w:t>
      </w:r>
      <w:r>
        <w:rPr>
          <w:rFonts w:eastAsia="仿宋_GB2312" w:hint="eastAsia"/>
          <w:sz w:val="32"/>
          <w:szCs w:val="32"/>
        </w:rPr>
        <w:t>。主要原因是新冠肺炎疫情较上年缓解，增加会议费、办公费、维修费等支出。</w:t>
      </w:r>
    </w:p>
    <w:p w:rsidR="00B377EC" w:rsidRDefault="00F95364" w:rsidP="00D74874">
      <w:pPr>
        <w:spacing w:line="600" w:lineRule="exact"/>
        <w:ind w:firstLineChars="200" w:firstLine="643"/>
        <w:outlineLvl w:val="2"/>
        <w:rPr>
          <w:rFonts w:ascii="楷体" w:eastAsia="楷体" w:hAnsi="楷体" w:cs="楷体"/>
          <w:b/>
          <w:sz w:val="32"/>
          <w:szCs w:val="32"/>
        </w:rPr>
      </w:pPr>
      <w:bookmarkStart w:id="67" w:name="_Toc15377223"/>
      <w:bookmarkStart w:id="68" w:name="_Toc113284440"/>
      <w:r>
        <w:rPr>
          <w:rFonts w:ascii="楷体" w:eastAsia="楷体" w:hAnsi="楷体" w:cs="楷体" w:hint="eastAsia"/>
          <w:b/>
          <w:sz w:val="32"/>
          <w:szCs w:val="32"/>
        </w:rPr>
        <w:t>（二）政府采购支出情况</w:t>
      </w:r>
      <w:bookmarkEnd w:id="67"/>
      <w:bookmarkEnd w:id="68"/>
    </w:p>
    <w:p w:rsidR="00B377EC" w:rsidRPr="006C23B4" w:rsidRDefault="00F95364">
      <w:pPr>
        <w:spacing w:line="600" w:lineRule="exact"/>
        <w:ind w:firstLine="640"/>
        <w:rPr>
          <w:rFonts w:eastAsia="仿宋_GB2312"/>
          <w:color w:val="000000" w:themeColor="text1"/>
          <w:sz w:val="32"/>
          <w:szCs w:val="32"/>
        </w:rPr>
      </w:pPr>
      <w:r>
        <w:rPr>
          <w:rFonts w:eastAsia="仿宋_GB2312"/>
          <w:sz w:val="32"/>
          <w:szCs w:val="32"/>
        </w:rPr>
        <w:t>2021</w:t>
      </w:r>
      <w:r>
        <w:rPr>
          <w:rFonts w:eastAsia="仿宋_GB2312"/>
          <w:sz w:val="32"/>
          <w:szCs w:val="32"/>
        </w:rPr>
        <w:t>年，</w:t>
      </w:r>
      <w:r w:rsidR="00FA29A6">
        <w:rPr>
          <w:rFonts w:eastAsia="仿宋_GB2312"/>
          <w:sz w:val="32"/>
          <w:szCs w:val="32"/>
        </w:rPr>
        <w:t>四川驻沪办</w:t>
      </w:r>
      <w:r>
        <w:rPr>
          <w:rFonts w:eastAsia="仿宋_GB2312"/>
          <w:sz w:val="32"/>
          <w:szCs w:val="32"/>
        </w:rPr>
        <w:t>政府采购支出总额</w:t>
      </w:r>
      <w:r>
        <w:rPr>
          <w:rFonts w:eastAsia="仿宋_GB2312"/>
          <w:sz w:val="32"/>
          <w:szCs w:val="32"/>
        </w:rPr>
        <w:t>172.26</w:t>
      </w:r>
      <w:r>
        <w:rPr>
          <w:rFonts w:eastAsia="仿宋_GB2312"/>
          <w:sz w:val="32"/>
          <w:szCs w:val="32"/>
        </w:rPr>
        <w:t>万元，其中：政府采购货物支出</w:t>
      </w:r>
      <w:r>
        <w:rPr>
          <w:rFonts w:eastAsia="仿宋_GB2312"/>
          <w:sz w:val="32"/>
          <w:szCs w:val="32"/>
        </w:rPr>
        <w:t>8.1</w:t>
      </w:r>
      <w:r>
        <w:rPr>
          <w:rFonts w:eastAsia="仿宋_GB2312"/>
          <w:sz w:val="32"/>
          <w:szCs w:val="32"/>
        </w:rPr>
        <w:t>万元、政府采购工程支出</w:t>
      </w:r>
      <w:r>
        <w:rPr>
          <w:rFonts w:eastAsia="仿宋_GB2312"/>
          <w:sz w:val="32"/>
          <w:szCs w:val="32"/>
        </w:rPr>
        <w:t>149.16</w:t>
      </w:r>
      <w:r>
        <w:rPr>
          <w:rFonts w:eastAsia="仿宋_GB2312"/>
          <w:sz w:val="32"/>
          <w:szCs w:val="32"/>
        </w:rPr>
        <w:t>万元、政府采购服务支出</w:t>
      </w:r>
      <w:r>
        <w:rPr>
          <w:rFonts w:eastAsia="仿宋_GB2312"/>
          <w:sz w:val="32"/>
          <w:szCs w:val="32"/>
        </w:rPr>
        <w:t>15</w:t>
      </w:r>
      <w:r>
        <w:rPr>
          <w:rFonts w:eastAsia="仿宋_GB2312"/>
          <w:sz w:val="32"/>
          <w:szCs w:val="32"/>
        </w:rPr>
        <w:t>万元。主要用于办公设备采购支出、办公楼维修维护支出、开展招商引资和劳务慰问等工作需要的车辆维修保养、燃油费、保险费等服务支出。授予中小企业合同金额</w:t>
      </w:r>
      <w:r>
        <w:rPr>
          <w:rFonts w:eastAsia="仿宋_GB2312"/>
          <w:sz w:val="32"/>
          <w:szCs w:val="32"/>
        </w:rPr>
        <w:t>163.26</w:t>
      </w:r>
      <w:r>
        <w:rPr>
          <w:rFonts w:eastAsia="仿宋_GB2312"/>
          <w:sz w:val="32"/>
          <w:szCs w:val="32"/>
        </w:rPr>
        <w:t>万元，占政府采购支出总额的</w:t>
      </w:r>
      <w:r>
        <w:rPr>
          <w:rFonts w:eastAsia="仿宋_GB2312"/>
          <w:sz w:val="32"/>
          <w:szCs w:val="32"/>
        </w:rPr>
        <w:t>94.78%</w:t>
      </w:r>
      <w:r>
        <w:rPr>
          <w:rFonts w:eastAsia="仿宋_GB2312"/>
          <w:sz w:val="32"/>
          <w:szCs w:val="32"/>
        </w:rPr>
        <w:t>，</w:t>
      </w:r>
      <w:r w:rsidRPr="006C23B4">
        <w:rPr>
          <w:rFonts w:eastAsia="仿宋_GB2312"/>
          <w:color w:val="000000" w:themeColor="text1"/>
          <w:sz w:val="32"/>
          <w:szCs w:val="32"/>
        </w:rPr>
        <w:t>其中：授予小微企业合同金额</w:t>
      </w:r>
      <w:r w:rsidRPr="006C23B4">
        <w:rPr>
          <w:rFonts w:eastAsia="仿宋_GB2312"/>
          <w:color w:val="000000" w:themeColor="text1"/>
          <w:sz w:val="32"/>
          <w:szCs w:val="32"/>
        </w:rPr>
        <w:t>0</w:t>
      </w:r>
      <w:r w:rsidRPr="006C23B4">
        <w:rPr>
          <w:rFonts w:eastAsia="仿宋_GB2312"/>
          <w:color w:val="000000" w:themeColor="text1"/>
          <w:sz w:val="32"/>
          <w:szCs w:val="32"/>
        </w:rPr>
        <w:t>万元，占政府采购支出总额的</w:t>
      </w:r>
      <w:r w:rsidRPr="006C23B4">
        <w:rPr>
          <w:rFonts w:eastAsia="仿宋_GB2312"/>
          <w:color w:val="000000" w:themeColor="text1"/>
          <w:sz w:val="32"/>
          <w:szCs w:val="32"/>
        </w:rPr>
        <w:t>0%</w:t>
      </w:r>
      <w:r w:rsidRPr="006C23B4">
        <w:rPr>
          <w:rFonts w:eastAsia="仿宋_GB2312"/>
          <w:color w:val="000000" w:themeColor="text1"/>
          <w:sz w:val="32"/>
          <w:szCs w:val="32"/>
        </w:rPr>
        <w:t>。</w:t>
      </w:r>
    </w:p>
    <w:p w:rsidR="00B377EC" w:rsidRDefault="00F95364" w:rsidP="00D74874">
      <w:pPr>
        <w:spacing w:line="600" w:lineRule="exact"/>
        <w:ind w:firstLineChars="200" w:firstLine="643"/>
        <w:outlineLvl w:val="2"/>
        <w:rPr>
          <w:rFonts w:ascii="楷体" w:eastAsia="楷体" w:hAnsi="楷体" w:cs="楷体"/>
          <w:b/>
          <w:sz w:val="32"/>
          <w:szCs w:val="32"/>
        </w:rPr>
      </w:pPr>
      <w:bookmarkStart w:id="69" w:name="_Toc15377224"/>
      <w:bookmarkStart w:id="70" w:name="_Toc113284441"/>
      <w:r>
        <w:rPr>
          <w:rFonts w:ascii="楷体" w:eastAsia="楷体" w:hAnsi="楷体" w:cs="楷体" w:hint="eastAsia"/>
          <w:b/>
          <w:sz w:val="32"/>
          <w:szCs w:val="32"/>
        </w:rPr>
        <w:t>（三）国有资产占有使用情况</w:t>
      </w:r>
      <w:bookmarkEnd w:id="69"/>
      <w:bookmarkEnd w:id="70"/>
    </w:p>
    <w:p w:rsidR="00B377EC" w:rsidRDefault="00F95364">
      <w:pPr>
        <w:spacing w:line="600" w:lineRule="exact"/>
        <w:ind w:firstLine="640"/>
        <w:rPr>
          <w:rFonts w:eastAsia="仿宋_GB2312"/>
          <w:sz w:val="32"/>
          <w:szCs w:val="32"/>
        </w:rPr>
      </w:pPr>
      <w:r>
        <w:rPr>
          <w:rFonts w:eastAsia="仿宋_GB2312" w:hint="eastAsia"/>
          <w:sz w:val="32"/>
          <w:szCs w:val="32"/>
        </w:rPr>
        <w:t>截至</w:t>
      </w:r>
      <w:r>
        <w:rPr>
          <w:rFonts w:eastAsia="仿宋_GB2312"/>
          <w:sz w:val="32"/>
          <w:szCs w:val="32"/>
        </w:rPr>
        <w:t>20</w:t>
      </w:r>
      <w:r>
        <w:rPr>
          <w:rFonts w:eastAsia="仿宋_GB2312" w:hint="eastAsia"/>
          <w:sz w:val="32"/>
          <w:szCs w:val="32"/>
        </w:rPr>
        <w:t>21</w:t>
      </w:r>
      <w:r>
        <w:rPr>
          <w:rFonts w:eastAsia="仿宋_GB2312" w:hint="eastAsia"/>
          <w:sz w:val="32"/>
          <w:szCs w:val="32"/>
        </w:rPr>
        <w:t>年</w:t>
      </w:r>
      <w:r>
        <w:rPr>
          <w:rFonts w:eastAsia="仿宋_GB2312"/>
          <w:sz w:val="32"/>
          <w:szCs w:val="32"/>
        </w:rPr>
        <w:t>12</w:t>
      </w:r>
      <w:r>
        <w:rPr>
          <w:rFonts w:eastAsia="仿宋_GB2312" w:hint="eastAsia"/>
          <w:sz w:val="32"/>
          <w:szCs w:val="32"/>
        </w:rPr>
        <w:t>月</w:t>
      </w:r>
      <w:r>
        <w:rPr>
          <w:rFonts w:eastAsia="仿宋_GB2312"/>
          <w:sz w:val="32"/>
          <w:szCs w:val="32"/>
        </w:rPr>
        <w:t>31</w:t>
      </w:r>
      <w:r>
        <w:rPr>
          <w:rFonts w:eastAsia="仿宋_GB2312" w:hint="eastAsia"/>
          <w:sz w:val="32"/>
          <w:szCs w:val="32"/>
        </w:rPr>
        <w:t>日，</w:t>
      </w:r>
      <w:r w:rsidR="00FA29A6">
        <w:rPr>
          <w:rFonts w:eastAsia="仿宋_GB2312" w:hint="eastAsia"/>
          <w:sz w:val="32"/>
          <w:szCs w:val="32"/>
        </w:rPr>
        <w:t>四川驻沪办</w:t>
      </w:r>
      <w:r>
        <w:rPr>
          <w:rFonts w:eastAsia="仿宋_GB2312" w:hint="eastAsia"/>
          <w:sz w:val="32"/>
          <w:szCs w:val="32"/>
        </w:rPr>
        <w:t>共有车辆</w:t>
      </w:r>
      <w:r>
        <w:rPr>
          <w:rFonts w:eastAsia="仿宋_GB2312" w:hint="eastAsia"/>
          <w:sz w:val="32"/>
          <w:szCs w:val="32"/>
        </w:rPr>
        <w:t>6</w:t>
      </w:r>
      <w:r>
        <w:rPr>
          <w:rFonts w:eastAsia="仿宋_GB2312" w:hint="eastAsia"/>
          <w:sz w:val="32"/>
          <w:szCs w:val="32"/>
        </w:rPr>
        <w:t>辆，</w:t>
      </w:r>
      <w:r>
        <w:rPr>
          <w:rFonts w:eastAsia="仿宋_GB2312" w:hint="eastAsia"/>
          <w:sz w:val="32"/>
          <w:szCs w:val="32"/>
        </w:rPr>
        <w:lastRenderedPageBreak/>
        <w:t>其中：主要领导干部用车</w:t>
      </w:r>
      <w:r>
        <w:rPr>
          <w:rFonts w:eastAsia="仿宋_GB2312" w:hint="eastAsia"/>
          <w:sz w:val="32"/>
          <w:szCs w:val="32"/>
        </w:rPr>
        <w:t>0</w:t>
      </w:r>
      <w:r>
        <w:rPr>
          <w:rFonts w:eastAsia="仿宋_GB2312" w:hint="eastAsia"/>
          <w:sz w:val="32"/>
          <w:szCs w:val="32"/>
        </w:rPr>
        <w:t>辆、机要通信用车</w:t>
      </w:r>
      <w:r>
        <w:rPr>
          <w:rFonts w:eastAsia="仿宋_GB2312" w:hint="eastAsia"/>
          <w:sz w:val="32"/>
          <w:szCs w:val="32"/>
        </w:rPr>
        <w:t>1</w:t>
      </w:r>
      <w:r>
        <w:rPr>
          <w:rFonts w:eastAsia="仿宋_GB2312" w:hint="eastAsia"/>
          <w:sz w:val="32"/>
          <w:szCs w:val="32"/>
        </w:rPr>
        <w:t>辆、应急保障用车</w:t>
      </w:r>
      <w:r>
        <w:rPr>
          <w:rFonts w:eastAsia="仿宋_GB2312" w:hint="eastAsia"/>
          <w:sz w:val="32"/>
          <w:szCs w:val="32"/>
        </w:rPr>
        <w:t>4</w:t>
      </w:r>
      <w:r>
        <w:rPr>
          <w:rFonts w:eastAsia="仿宋_GB2312" w:hint="eastAsia"/>
          <w:sz w:val="32"/>
          <w:szCs w:val="32"/>
        </w:rPr>
        <w:t>辆、离退休干部用车</w:t>
      </w:r>
      <w:r>
        <w:rPr>
          <w:rFonts w:eastAsia="仿宋_GB2312" w:hint="eastAsia"/>
          <w:sz w:val="32"/>
          <w:szCs w:val="32"/>
        </w:rPr>
        <w:t>1</w:t>
      </w:r>
      <w:r>
        <w:rPr>
          <w:rFonts w:eastAsia="仿宋_GB2312" w:hint="eastAsia"/>
          <w:sz w:val="32"/>
          <w:szCs w:val="32"/>
        </w:rPr>
        <w:t>辆。单价</w:t>
      </w:r>
      <w:r>
        <w:rPr>
          <w:rFonts w:eastAsia="仿宋_GB2312"/>
          <w:sz w:val="32"/>
          <w:szCs w:val="32"/>
        </w:rPr>
        <w:t>50</w:t>
      </w:r>
      <w:r>
        <w:rPr>
          <w:rFonts w:eastAsia="仿宋_GB2312" w:hint="eastAsia"/>
          <w:sz w:val="32"/>
          <w:szCs w:val="32"/>
        </w:rPr>
        <w:t>万元以上通用设备</w:t>
      </w:r>
      <w:r>
        <w:rPr>
          <w:rFonts w:eastAsia="仿宋_GB2312" w:hint="eastAsia"/>
          <w:sz w:val="32"/>
          <w:szCs w:val="32"/>
        </w:rPr>
        <w:t>0</w:t>
      </w:r>
      <w:r>
        <w:rPr>
          <w:rFonts w:eastAsia="仿宋_GB2312" w:hint="eastAsia"/>
          <w:sz w:val="32"/>
          <w:szCs w:val="32"/>
        </w:rPr>
        <w:t>台（套），单价</w:t>
      </w:r>
      <w:r>
        <w:rPr>
          <w:rFonts w:eastAsia="仿宋_GB2312"/>
          <w:sz w:val="32"/>
          <w:szCs w:val="32"/>
        </w:rPr>
        <w:t>100</w:t>
      </w:r>
      <w:r>
        <w:rPr>
          <w:rFonts w:eastAsia="仿宋_GB2312" w:hint="eastAsia"/>
          <w:sz w:val="32"/>
          <w:szCs w:val="32"/>
        </w:rPr>
        <w:t>万元以上专用设备</w:t>
      </w:r>
      <w:r>
        <w:rPr>
          <w:rFonts w:eastAsia="仿宋_GB2312" w:hint="eastAsia"/>
          <w:sz w:val="32"/>
          <w:szCs w:val="32"/>
        </w:rPr>
        <w:t>0</w:t>
      </w:r>
      <w:r>
        <w:rPr>
          <w:rFonts w:eastAsia="仿宋_GB2312" w:hint="eastAsia"/>
          <w:sz w:val="32"/>
          <w:szCs w:val="32"/>
        </w:rPr>
        <w:t>台（套）。</w:t>
      </w:r>
    </w:p>
    <w:p w:rsidR="00B377EC" w:rsidRDefault="00F95364" w:rsidP="00D74874">
      <w:pPr>
        <w:spacing w:line="600" w:lineRule="exact"/>
        <w:ind w:firstLineChars="200" w:firstLine="643"/>
        <w:outlineLvl w:val="2"/>
        <w:rPr>
          <w:rFonts w:ascii="楷体" w:eastAsia="楷体" w:hAnsi="楷体" w:cs="楷体"/>
          <w:b/>
          <w:sz w:val="32"/>
          <w:szCs w:val="32"/>
        </w:rPr>
      </w:pPr>
      <w:bookmarkStart w:id="71" w:name="_Toc113284442"/>
      <w:r>
        <w:rPr>
          <w:rFonts w:ascii="楷体" w:eastAsia="楷体" w:hAnsi="楷体" w:cs="楷体" w:hint="eastAsia"/>
          <w:b/>
          <w:sz w:val="32"/>
          <w:szCs w:val="32"/>
        </w:rPr>
        <w:t>（四）预算绩效管理情况</w:t>
      </w:r>
      <w:bookmarkEnd w:id="71"/>
    </w:p>
    <w:p w:rsidR="00B377EC" w:rsidRDefault="00F95364">
      <w:pPr>
        <w:spacing w:line="600" w:lineRule="exact"/>
        <w:ind w:firstLine="640"/>
        <w:rPr>
          <w:rFonts w:eastAsia="仿宋_GB2312"/>
          <w:sz w:val="32"/>
          <w:szCs w:val="32"/>
        </w:rPr>
      </w:pPr>
      <w:r>
        <w:rPr>
          <w:rFonts w:eastAsia="仿宋_GB2312" w:hint="eastAsia"/>
          <w:sz w:val="32"/>
          <w:szCs w:val="32"/>
        </w:rPr>
        <w:t>根据预算绩效管理要求，本单位在</w:t>
      </w:r>
      <w:r>
        <w:rPr>
          <w:rFonts w:eastAsia="仿宋_GB2312" w:hint="eastAsia"/>
          <w:sz w:val="32"/>
          <w:szCs w:val="32"/>
        </w:rPr>
        <w:t>2021</w:t>
      </w:r>
      <w:r>
        <w:rPr>
          <w:rFonts w:eastAsia="仿宋_GB2312" w:hint="eastAsia"/>
          <w:sz w:val="32"/>
          <w:szCs w:val="32"/>
        </w:rPr>
        <w:t>年度预算编制阶段，组织对</w:t>
      </w:r>
      <w:r>
        <w:rPr>
          <w:rFonts w:eastAsia="仿宋_GB2312"/>
          <w:sz w:val="32"/>
          <w:szCs w:val="32"/>
        </w:rPr>
        <w:t>省级预算内基本建设资金</w:t>
      </w:r>
      <w:r>
        <w:rPr>
          <w:rFonts w:eastAsia="仿宋_GB2312" w:hint="eastAsia"/>
          <w:sz w:val="32"/>
          <w:szCs w:val="32"/>
        </w:rPr>
        <w:t>1</w:t>
      </w:r>
      <w:r>
        <w:rPr>
          <w:rFonts w:eastAsia="仿宋_GB2312" w:hint="eastAsia"/>
          <w:sz w:val="32"/>
          <w:szCs w:val="32"/>
        </w:rPr>
        <w:t>个项目开展了预算事前绩效评估，对</w:t>
      </w:r>
      <w:r>
        <w:rPr>
          <w:rFonts w:eastAsia="仿宋_GB2312" w:hint="eastAsia"/>
          <w:sz w:val="32"/>
          <w:szCs w:val="32"/>
        </w:rPr>
        <w:t>1</w:t>
      </w:r>
      <w:r>
        <w:rPr>
          <w:rFonts w:eastAsia="仿宋_GB2312" w:hint="eastAsia"/>
          <w:sz w:val="32"/>
          <w:szCs w:val="32"/>
        </w:rPr>
        <w:t>个项目编制了绩效目标，预算执行过程中，选取</w:t>
      </w:r>
      <w:r>
        <w:rPr>
          <w:rFonts w:eastAsia="仿宋_GB2312" w:hint="eastAsia"/>
          <w:sz w:val="32"/>
          <w:szCs w:val="32"/>
        </w:rPr>
        <w:t>1</w:t>
      </w:r>
      <w:r>
        <w:rPr>
          <w:rFonts w:eastAsia="仿宋_GB2312" w:hint="eastAsia"/>
          <w:sz w:val="32"/>
          <w:szCs w:val="32"/>
        </w:rPr>
        <w:t>个项目开展绩效监控，年终执行完毕后，对</w:t>
      </w:r>
      <w:r>
        <w:rPr>
          <w:rFonts w:eastAsia="仿宋_GB2312" w:hint="eastAsia"/>
          <w:sz w:val="32"/>
          <w:szCs w:val="32"/>
        </w:rPr>
        <w:t>1</w:t>
      </w:r>
      <w:r>
        <w:rPr>
          <w:rFonts w:eastAsia="仿宋_GB2312" w:hint="eastAsia"/>
          <w:sz w:val="32"/>
          <w:szCs w:val="32"/>
        </w:rPr>
        <w:t>个项目开展了绩效自评，</w:t>
      </w:r>
      <w:r>
        <w:rPr>
          <w:rFonts w:eastAsia="仿宋_GB2312" w:hint="eastAsia"/>
          <w:sz w:val="32"/>
          <w:szCs w:val="32"/>
        </w:rPr>
        <w:t>2021</w:t>
      </w:r>
      <w:r>
        <w:rPr>
          <w:rFonts w:eastAsia="仿宋_GB2312" w:hint="eastAsia"/>
          <w:sz w:val="32"/>
          <w:szCs w:val="32"/>
        </w:rPr>
        <w:t>年特定目标类部门预算项目绩效目标自评表见附件（第四部分）。</w:t>
      </w:r>
    </w:p>
    <w:p w:rsidR="00B377EC" w:rsidRDefault="00F95364">
      <w:pPr>
        <w:spacing w:line="600" w:lineRule="exact"/>
        <w:ind w:firstLine="640"/>
        <w:rPr>
          <w:rFonts w:eastAsia="仿宋_GB2312"/>
          <w:sz w:val="32"/>
          <w:szCs w:val="32"/>
        </w:rPr>
      </w:pPr>
      <w:r>
        <w:rPr>
          <w:rFonts w:eastAsia="仿宋_GB2312"/>
          <w:sz w:val="32"/>
          <w:szCs w:val="32"/>
        </w:rPr>
        <w:br w:type="page"/>
      </w:r>
    </w:p>
    <w:p w:rsidR="00B377EC" w:rsidRDefault="00F95364">
      <w:pPr>
        <w:spacing w:line="600" w:lineRule="exact"/>
        <w:jc w:val="center"/>
        <w:outlineLvl w:val="0"/>
        <w:rPr>
          <w:rStyle w:val="1Char"/>
          <w:rFonts w:ascii="黑体" w:eastAsia="黑体" w:hAnsi="黑体"/>
          <w:b w:val="0"/>
        </w:rPr>
      </w:pPr>
      <w:bookmarkStart w:id="72" w:name="_Toc15396613"/>
      <w:bookmarkStart w:id="73" w:name="_Toc15377225"/>
      <w:bookmarkStart w:id="74" w:name="_Toc113284443"/>
      <w:r>
        <w:rPr>
          <w:rFonts w:ascii="黑体" w:eastAsia="黑体" w:hAnsi="黑体" w:hint="eastAsia"/>
          <w:sz w:val="44"/>
          <w:szCs w:val="44"/>
        </w:rPr>
        <w:lastRenderedPageBreak/>
        <w:t>第三部分名</w:t>
      </w:r>
      <w:r>
        <w:rPr>
          <w:rStyle w:val="1Char"/>
          <w:rFonts w:ascii="黑体" w:eastAsia="黑体" w:hAnsi="黑体" w:hint="eastAsia"/>
          <w:b w:val="0"/>
        </w:rPr>
        <w:t>词解释</w:t>
      </w:r>
      <w:bookmarkEnd w:id="72"/>
      <w:bookmarkEnd w:id="73"/>
      <w:bookmarkEnd w:id="74"/>
    </w:p>
    <w:p w:rsidR="00B377EC" w:rsidRDefault="00B377EC">
      <w:pPr>
        <w:spacing w:line="600" w:lineRule="exact"/>
        <w:jc w:val="left"/>
        <w:rPr>
          <w:rFonts w:ascii="宋体"/>
          <w:b/>
          <w:sz w:val="44"/>
          <w:szCs w:val="44"/>
        </w:rPr>
      </w:pPr>
    </w:p>
    <w:p w:rsidR="00B377EC" w:rsidRDefault="00F95364">
      <w:pPr>
        <w:spacing w:line="600" w:lineRule="exact"/>
        <w:ind w:firstLine="640"/>
        <w:rPr>
          <w:rFonts w:eastAsia="仿宋_GB2312"/>
          <w:sz w:val="32"/>
          <w:szCs w:val="32"/>
        </w:rPr>
      </w:pPr>
      <w:r>
        <w:rPr>
          <w:rFonts w:eastAsia="仿宋_GB2312"/>
          <w:sz w:val="32"/>
          <w:szCs w:val="32"/>
        </w:rPr>
        <w:t>1.</w:t>
      </w:r>
      <w:r>
        <w:rPr>
          <w:rFonts w:eastAsia="仿宋_GB2312" w:hint="eastAsia"/>
          <w:sz w:val="32"/>
          <w:szCs w:val="32"/>
        </w:rPr>
        <w:t>财政拨款收入：指单位从同级财政部门取得的财政预算资金。</w:t>
      </w:r>
    </w:p>
    <w:p w:rsidR="00B377EC" w:rsidRDefault="00F95364">
      <w:pPr>
        <w:spacing w:line="600" w:lineRule="exact"/>
        <w:ind w:firstLine="640"/>
        <w:rPr>
          <w:rFonts w:eastAsia="仿宋_GB2312"/>
          <w:sz w:val="32"/>
          <w:szCs w:val="32"/>
        </w:rPr>
      </w:pPr>
      <w:r>
        <w:rPr>
          <w:rFonts w:eastAsia="仿宋_GB2312" w:hint="eastAsia"/>
          <w:sz w:val="32"/>
          <w:szCs w:val="32"/>
        </w:rPr>
        <w:t>2</w:t>
      </w:r>
      <w:r>
        <w:rPr>
          <w:rFonts w:eastAsia="仿宋_GB2312"/>
          <w:sz w:val="32"/>
          <w:szCs w:val="32"/>
        </w:rPr>
        <w:t>.</w:t>
      </w:r>
      <w:r>
        <w:rPr>
          <w:rFonts w:eastAsia="仿宋_GB2312" w:hint="eastAsia"/>
          <w:sz w:val="32"/>
          <w:szCs w:val="32"/>
        </w:rPr>
        <w:t>年初结转和结余：指以前年度尚未完成、结转到本年按有关规定继续使用的资金。</w:t>
      </w:r>
    </w:p>
    <w:p w:rsidR="00B377EC" w:rsidRDefault="00F95364">
      <w:pPr>
        <w:spacing w:line="600" w:lineRule="exact"/>
        <w:ind w:firstLine="640"/>
        <w:rPr>
          <w:rFonts w:eastAsia="仿宋_GB2312"/>
          <w:sz w:val="32"/>
          <w:szCs w:val="32"/>
        </w:rPr>
      </w:pPr>
      <w:r>
        <w:rPr>
          <w:rFonts w:eastAsia="仿宋_GB2312" w:hint="eastAsia"/>
          <w:sz w:val="32"/>
          <w:szCs w:val="32"/>
        </w:rPr>
        <w:t>3</w:t>
      </w:r>
      <w:r>
        <w:rPr>
          <w:rFonts w:eastAsia="仿宋_GB2312"/>
          <w:sz w:val="32"/>
          <w:szCs w:val="32"/>
        </w:rPr>
        <w:t>.</w:t>
      </w:r>
      <w:r>
        <w:rPr>
          <w:rFonts w:eastAsia="仿宋_GB2312" w:hint="eastAsia"/>
          <w:sz w:val="32"/>
          <w:szCs w:val="32"/>
        </w:rPr>
        <w:t>结余分配：指事业单位按照会计制度规定缴纳的所得税、提取的专用结余以及转入非财政拨款结余的金额等。</w:t>
      </w:r>
    </w:p>
    <w:p w:rsidR="00B377EC" w:rsidRDefault="00F95364">
      <w:pPr>
        <w:spacing w:line="600" w:lineRule="exact"/>
        <w:ind w:firstLine="640"/>
        <w:rPr>
          <w:rFonts w:eastAsia="仿宋_GB2312"/>
          <w:sz w:val="32"/>
          <w:szCs w:val="32"/>
        </w:rPr>
      </w:pPr>
      <w:r>
        <w:rPr>
          <w:rFonts w:eastAsia="仿宋_GB2312" w:hint="eastAsia"/>
          <w:sz w:val="32"/>
          <w:szCs w:val="32"/>
        </w:rPr>
        <w:t>4.</w:t>
      </w:r>
      <w:r>
        <w:rPr>
          <w:rFonts w:eastAsia="仿宋_GB2312" w:hint="eastAsia"/>
          <w:sz w:val="32"/>
          <w:szCs w:val="32"/>
        </w:rPr>
        <w:t>年末结转和结余：指单位按有关规定结转到下年或以后年度继续使用的资金。</w:t>
      </w:r>
    </w:p>
    <w:p w:rsidR="00B377EC" w:rsidRDefault="00F95364">
      <w:pPr>
        <w:spacing w:line="600" w:lineRule="exact"/>
        <w:ind w:firstLine="640"/>
        <w:rPr>
          <w:rFonts w:eastAsia="仿宋_GB2312"/>
          <w:sz w:val="32"/>
          <w:szCs w:val="32"/>
        </w:rPr>
      </w:pPr>
      <w:r>
        <w:rPr>
          <w:rFonts w:eastAsia="仿宋_GB2312"/>
          <w:sz w:val="32"/>
          <w:szCs w:val="32"/>
        </w:rPr>
        <w:t>5.</w:t>
      </w:r>
      <w:r>
        <w:rPr>
          <w:rFonts w:eastAsia="仿宋_GB2312"/>
          <w:sz w:val="32"/>
          <w:szCs w:val="32"/>
        </w:rPr>
        <w:t>一般公共服务（类）商贸事务（款）行政运行（项）</w:t>
      </w:r>
      <w:r>
        <w:rPr>
          <w:rFonts w:eastAsia="仿宋_GB2312"/>
          <w:sz w:val="32"/>
          <w:szCs w:val="32"/>
        </w:rPr>
        <w:t xml:space="preserve">: </w:t>
      </w:r>
      <w:r>
        <w:rPr>
          <w:rFonts w:eastAsia="仿宋_GB2312"/>
          <w:sz w:val="32"/>
          <w:szCs w:val="32"/>
        </w:rPr>
        <w:t>指用于保障机构正常运行、开展日常工作的基本支出。</w:t>
      </w:r>
    </w:p>
    <w:p w:rsidR="00B377EC" w:rsidRDefault="00F95364">
      <w:pPr>
        <w:spacing w:line="600" w:lineRule="exact"/>
        <w:ind w:firstLine="640"/>
        <w:rPr>
          <w:rFonts w:eastAsia="仿宋_GB2312"/>
          <w:sz w:val="32"/>
          <w:szCs w:val="32"/>
        </w:rPr>
      </w:pPr>
      <w:r>
        <w:rPr>
          <w:rFonts w:eastAsia="仿宋_GB2312"/>
          <w:sz w:val="32"/>
          <w:szCs w:val="32"/>
        </w:rPr>
        <w:t>6.</w:t>
      </w:r>
      <w:r>
        <w:rPr>
          <w:rFonts w:eastAsia="仿宋_GB2312"/>
          <w:sz w:val="32"/>
          <w:szCs w:val="32"/>
        </w:rPr>
        <w:t>一般公共服务（类）商贸事务（款）一般行政管理事务（项）</w:t>
      </w:r>
      <w:r>
        <w:rPr>
          <w:rFonts w:eastAsia="仿宋_GB2312"/>
          <w:sz w:val="32"/>
          <w:szCs w:val="32"/>
        </w:rPr>
        <w:t xml:space="preserve">: </w:t>
      </w:r>
      <w:r>
        <w:rPr>
          <w:rFonts w:eastAsia="仿宋_GB2312"/>
          <w:sz w:val="32"/>
          <w:szCs w:val="32"/>
        </w:rPr>
        <w:t>指反映行政单位（包括实行公务员管理的事业单位）未单独设置项级科目的其他项目支出。</w:t>
      </w:r>
    </w:p>
    <w:p w:rsidR="00B377EC" w:rsidRDefault="00F95364">
      <w:pPr>
        <w:spacing w:line="600" w:lineRule="exact"/>
        <w:ind w:firstLine="640"/>
        <w:rPr>
          <w:rFonts w:eastAsia="仿宋_GB2312"/>
          <w:sz w:val="32"/>
          <w:szCs w:val="32"/>
        </w:rPr>
      </w:pPr>
      <w:r>
        <w:rPr>
          <w:rFonts w:eastAsia="仿宋_GB2312"/>
          <w:sz w:val="32"/>
          <w:szCs w:val="32"/>
        </w:rPr>
        <w:t>7.</w:t>
      </w:r>
      <w:r>
        <w:rPr>
          <w:rFonts w:eastAsia="仿宋_GB2312"/>
          <w:sz w:val="32"/>
          <w:szCs w:val="32"/>
        </w:rPr>
        <w:t>一般公共服务（类）商贸事务（款）招商引资（项）</w:t>
      </w:r>
      <w:r>
        <w:rPr>
          <w:rFonts w:eastAsia="仿宋_GB2312"/>
          <w:sz w:val="32"/>
          <w:szCs w:val="32"/>
        </w:rPr>
        <w:t xml:space="preserve">: </w:t>
      </w:r>
      <w:r>
        <w:rPr>
          <w:rFonts w:eastAsia="仿宋_GB2312"/>
          <w:sz w:val="32"/>
          <w:szCs w:val="32"/>
        </w:rPr>
        <w:t>指反映用于招商引资、优化经济环境等方面的支出。</w:t>
      </w:r>
    </w:p>
    <w:p w:rsidR="00B377EC" w:rsidRDefault="00F95364">
      <w:pPr>
        <w:spacing w:line="600" w:lineRule="exact"/>
        <w:ind w:firstLine="640"/>
        <w:rPr>
          <w:rFonts w:eastAsia="仿宋_GB2312"/>
          <w:sz w:val="32"/>
          <w:szCs w:val="32"/>
        </w:rPr>
      </w:pPr>
      <w:r>
        <w:rPr>
          <w:rFonts w:eastAsia="仿宋_GB2312" w:hint="eastAsia"/>
          <w:sz w:val="32"/>
          <w:szCs w:val="32"/>
        </w:rPr>
        <w:t>8.</w:t>
      </w:r>
      <w:r>
        <w:rPr>
          <w:rFonts w:eastAsia="仿宋_GB2312" w:hint="eastAsia"/>
          <w:sz w:val="32"/>
          <w:szCs w:val="32"/>
        </w:rPr>
        <w:t>社会保障和就业（类）行政事业单位养老支出（款）未归口管理的行政单位离退休（项）</w:t>
      </w:r>
      <w:r>
        <w:rPr>
          <w:rFonts w:eastAsia="仿宋_GB2312" w:hint="eastAsia"/>
          <w:sz w:val="32"/>
          <w:szCs w:val="32"/>
        </w:rPr>
        <w:t xml:space="preserve">: </w:t>
      </w:r>
      <w:r>
        <w:rPr>
          <w:rFonts w:eastAsia="仿宋_GB2312" w:hint="eastAsia"/>
          <w:sz w:val="32"/>
          <w:szCs w:val="32"/>
        </w:rPr>
        <w:t>指反映未实行归口管理的行政单位（包括实行公务员管理的事业单位）开支的离退休支出。</w:t>
      </w:r>
    </w:p>
    <w:p w:rsidR="00B377EC" w:rsidRDefault="00F95364">
      <w:pPr>
        <w:spacing w:line="600" w:lineRule="exact"/>
        <w:ind w:firstLine="640"/>
        <w:rPr>
          <w:rFonts w:eastAsia="仿宋_GB2312"/>
          <w:sz w:val="32"/>
          <w:szCs w:val="32"/>
        </w:rPr>
      </w:pPr>
      <w:r>
        <w:rPr>
          <w:rFonts w:eastAsia="仿宋_GB2312" w:hint="eastAsia"/>
          <w:sz w:val="32"/>
          <w:szCs w:val="32"/>
        </w:rPr>
        <w:t>9.</w:t>
      </w:r>
      <w:r>
        <w:rPr>
          <w:rFonts w:eastAsia="仿宋_GB2312" w:hint="eastAsia"/>
          <w:sz w:val="32"/>
          <w:szCs w:val="32"/>
        </w:rPr>
        <w:t>社会保障和就业（类）行政事业单位养老支出（款）机关事业单位基本养老保险缴费支出（项）</w:t>
      </w:r>
      <w:r>
        <w:rPr>
          <w:rFonts w:eastAsia="仿宋_GB2312" w:hint="eastAsia"/>
          <w:sz w:val="32"/>
          <w:szCs w:val="32"/>
        </w:rPr>
        <w:t xml:space="preserve">: </w:t>
      </w:r>
      <w:r>
        <w:rPr>
          <w:rFonts w:eastAsia="仿宋_GB2312" w:hint="eastAsia"/>
          <w:sz w:val="32"/>
          <w:szCs w:val="32"/>
        </w:rPr>
        <w:t>指反映机关事</w:t>
      </w:r>
      <w:r>
        <w:rPr>
          <w:rFonts w:eastAsia="仿宋_GB2312" w:hint="eastAsia"/>
          <w:sz w:val="32"/>
          <w:szCs w:val="32"/>
        </w:rPr>
        <w:lastRenderedPageBreak/>
        <w:t>业单位实施养老保险制度由单位缴纳的基本保险费支出。</w:t>
      </w:r>
    </w:p>
    <w:p w:rsidR="00B377EC" w:rsidRDefault="00F95364">
      <w:pPr>
        <w:spacing w:line="600" w:lineRule="exact"/>
        <w:ind w:firstLine="640"/>
        <w:rPr>
          <w:rFonts w:eastAsia="仿宋_GB2312"/>
          <w:sz w:val="32"/>
          <w:szCs w:val="32"/>
        </w:rPr>
      </w:pPr>
      <w:r>
        <w:rPr>
          <w:rFonts w:eastAsia="仿宋_GB2312" w:hint="eastAsia"/>
          <w:sz w:val="32"/>
          <w:szCs w:val="32"/>
        </w:rPr>
        <w:t>10.</w:t>
      </w:r>
      <w:r>
        <w:rPr>
          <w:rFonts w:eastAsia="仿宋_GB2312" w:hint="eastAsia"/>
          <w:sz w:val="32"/>
          <w:szCs w:val="32"/>
        </w:rPr>
        <w:t>卫生健康支出（类）行政事业单位医疗（款）行政单位医疗（项）</w:t>
      </w:r>
      <w:r>
        <w:rPr>
          <w:rFonts w:eastAsia="仿宋_GB2312" w:hint="eastAsia"/>
          <w:sz w:val="32"/>
          <w:szCs w:val="32"/>
        </w:rPr>
        <w:t xml:space="preserve">: </w:t>
      </w:r>
      <w:r>
        <w:rPr>
          <w:rFonts w:eastAsia="仿宋_GB2312" w:hint="eastAsia"/>
          <w:sz w:val="32"/>
          <w:szCs w:val="32"/>
        </w:rPr>
        <w:t>指反映财政部门集中安排的行政单位基本医疗保险缴费经费，未参加医疗保险的行政单位的公费医疗经费，按国家规定享受离休人员、红军老战士待遇人员的医疗经费。</w:t>
      </w:r>
    </w:p>
    <w:p w:rsidR="00B377EC" w:rsidRDefault="00F95364">
      <w:pPr>
        <w:spacing w:line="600" w:lineRule="exact"/>
        <w:ind w:firstLine="640"/>
        <w:rPr>
          <w:rFonts w:eastAsia="仿宋_GB2312"/>
          <w:sz w:val="32"/>
          <w:szCs w:val="32"/>
        </w:rPr>
      </w:pPr>
      <w:r>
        <w:rPr>
          <w:rFonts w:eastAsia="仿宋_GB2312" w:hint="eastAsia"/>
          <w:sz w:val="32"/>
          <w:szCs w:val="32"/>
        </w:rPr>
        <w:t>11.</w:t>
      </w:r>
      <w:r>
        <w:rPr>
          <w:rFonts w:eastAsia="仿宋_GB2312" w:hint="eastAsia"/>
          <w:sz w:val="32"/>
          <w:szCs w:val="32"/>
        </w:rPr>
        <w:t>卫生健康支出（类）行政事业单位医疗（款）事业单位医疗（项）</w:t>
      </w:r>
      <w:r>
        <w:rPr>
          <w:rFonts w:eastAsia="仿宋_GB2312" w:hint="eastAsia"/>
          <w:sz w:val="32"/>
          <w:szCs w:val="32"/>
        </w:rPr>
        <w:t xml:space="preserve">: </w:t>
      </w:r>
      <w:r>
        <w:rPr>
          <w:rFonts w:eastAsia="仿宋_GB2312" w:hint="eastAsia"/>
          <w:sz w:val="32"/>
          <w:szCs w:val="32"/>
        </w:rPr>
        <w:t>指反映财政部门集中安排的事业单位基本医疗保险缴费经费，未参加医疗保险的事业单位的公费医疗经费，按国家规定享受离休人员待遇的医疗经费。</w:t>
      </w:r>
    </w:p>
    <w:p w:rsidR="00B377EC" w:rsidRDefault="00F95364">
      <w:pPr>
        <w:spacing w:line="600" w:lineRule="exact"/>
        <w:ind w:firstLine="640"/>
        <w:rPr>
          <w:rFonts w:eastAsia="仿宋_GB2312"/>
          <w:sz w:val="32"/>
          <w:szCs w:val="32"/>
        </w:rPr>
      </w:pPr>
      <w:r>
        <w:rPr>
          <w:rFonts w:eastAsia="仿宋_GB2312" w:hint="eastAsia"/>
          <w:sz w:val="32"/>
          <w:szCs w:val="32"/>
        </w:rPr>
        <w:t>12.</w:t>
      </w:r>
      <w:r>
        <w:rPr>
          <w:rFonts w:eastAsia="仿宋_GB2312" w:hint="eastAsia"/>
          <w:sz w:val="32"/>
          <w:szCs w:val="32"/>
        </w:rPr>
        <w:t>卫生健康支出（类）行政事业单位医疗（款）公务员医疗补助（项）</w:t>
      </w:r>
      <w:r>
        <w:rPr>
          <w:rFonts w:eastAsia="仿宋_GB2312" w:hint="eastAsia"/>
          <w:sz w:val="32"/>
          <w:szCs w:val="32"/>
        </w:rPr>
        <w:t xml:space="preserve">: </w:t>
      </w:r>
      <w:r>
        <w:rPr>
          <w:rFonts w:eastAsia="仿宋_GB2312" w:hint="eastAsia"/>
          <w:sz w:val="32"/>
          <w:szCs w:val="32"/>
        </w:rPr>
        <w:t>指反映财政部门集中安排的公务员医疗补助经费。</w:t>
      </w:r>
    </w:p>
    <w:p w:rsidR="00B377EC" w:rsidRDefault="00F95364">
      <w:pPr>
        <w:spacing w:line="600" w:lineRule="exact"/>
        <w:ind w:firstLine="640"/>
        <w:rPr>
          <w:rFonts w:eastAsia="仿宋_GB2312"/>
          <w:sz w:val="32"/>
          <w:szCs w:val="32"/>
        </w:rPr>
      </w:pPr>
      <w:r>
        <w:rPr>
          <w:rFonts w:eastAsia="仿宋_GB2312" w:hint="eastAsia"/>
          <w:sz w:val="32"/>
          <w:szCs w:val="32"/>
        </w:rPr>
        <w:t>13.</w:t>
      </w:r>
      <w:r>
        <w:rPr>
          <w:rFonts w:eastAsia="仿宋_GB2312" w:hint="eastAsia"/>
          <w:sz w:val="32"/>
          <w:szCs w:val="32"/>
        </w:rPr>
        <w:t>住房保障支出（类）住房改革（款）住房公积金（项）</w:t>
      </w:r>
      <w:r>
        <w:rPr>
          <w:rFonts w:eastAsia="仿宋_GB2312" w:hint="eastAsia"/>
          <w:sz w:val="32"/>
          <w:szCs w:val="32"/>
        </w:rPr>
        <w:t xml:space="preserve">: </w:t>
      </w:r>
      <w:r>
        <w:rPr>
          <w:rFonts w:eastAsia="仿宋_GB2312" w:hint="eastAsia"/>
          <w:sz w:val="32"/>
          <w:szCs w:val="32"/>
        </w:rPr>
        <w:t>指反映行政事业单位按人力资源和社会保障部、财政部规定的基本工资和津贴补贴以及规定比例为职工缴纳的住房公积金。</w:t>
      </w:r>
    </w:p>
    <w:p w:rsidR="00B377EC" w:rsidRDefault="00F95364">
      <w:pPr>
        <w:spacing w:line="600" w:lineRule="exact"/>
        <w:ind w:firstLine="640"/>
        <w:rPr>
          <w:rFonts w:eastAsia="仿宋_GB2312"/>
          <w:sz w:val="32"/>
          <w:szCs w:val="32"/>
        </w:rPr>
      </w:pPr>
      <w:r>
        <w:rPr>
          <w:rFonts w:eastAsia="仿宋_GB2312" w:hint="eastAsia"/>
          <w:sz w:val="32"/>
          <w:szCs w:val="32"/>
        </w:rPr>
        <w:t>14</w:t>
      </w:r>
      <w:r>
        <w:rPr>
          <w:rFonts w:eastAsia="仿宋_GB2312"/>
          <w:sz w:val="32"/>
          <w:szCs w:val="32"/>
        </w:rPr>
        <w:t>.</w:t>
      </w:r>
      <w:r>
        <w:rPr>
          <w:rFonts w:eastAsia="仿宋_GB2312" w:hint="eastAsia"/>
          <w:sz w:val="32"/>
          <w:szCs w:val="32"/>
        </w:rPr>
        <w:t>基本支出：指为保障机构正常运转、完成日常工作任务而发生的人员支出和公用支出。</w:t>
      </w:r>
    </w:p>
    <w:p w:rsidR="00B377EC" w:rsidRDefault="00F95364">
      <w:pPr>
        <w:spacing w:line="600" w:lineRule="exact"/>
        <w:ind w:firstLine="640"/>
        <w:rPr>
          <w:rFonts w:eastAsia="仿宋_GB2312"/>
          <w:sz w:val="32"/>
          <w:szCs w:val="32"/>
        </w:rPr>
      </w:pPr>
      <w:r>
        <w:rPr>
          <w:rFonts w:eastAsia="仿宋_GB2312" w:hint="eastAsia"/>
          <w:sz w:val="32"/>
          <w:szCs w:val="32"/>
        </w:rPr>
        <w:t>15</w:t>
      </w:r>
      <w:r>
        <w:rPr>
          <w:rFonts w:eastAsia="仿宋_GB2312"/>
          <w:sz w:val="32"/>
          <w:szCs w:val="32"/>
        </w:rPr>
        <w:t>.</w:t>
      </w:r>
      <w:r>
        <w:rPr>
          <w:rFonts w:eastAsia="仿宋_GB2312" w:hint="eastAsia"/>
          <w:sz w:val="32"/>
          <w:szCs w:val="32"/>
        </w:rPr>
        <w:t>项目支出：指在基本支出之外为完成特定行政任务和事业发展目标所发生的支出。</w:t>
      </w:r>
    </w:p>
    <w:p w:rsidR="00B377EC" w:rsidRDefault="00F95364">
      <w:pPr>
        <w:spacing w:line="600" w:lineRule="exact"/>
        <w:ind w:firstLine="640"/>
        <w:rPr>
          <w:rFonts w:eastAsia="仿宋_GB2312"/>
          <w:sz w:val="32"/>
          <w:szCs w:val="32"/>
        </w:rPr>
      </w:pPr>
      <w:r>
        <w:rPr>
          <w:rFonts w:eastAsia="仿宋_GB2312" w:hint="eastAsia"/>
          <w:sz w:val="32"/>
          <w:szCs w:val="32"/>
        </w:rPr>
        <w:t>16</w:t>
      </w:r>
      <w:r>
        <w:rPr>
          <w:rFonts w:eastAsia="仿宋_GB2312"/>
          <w:sz w:val="32"/>
          <w:szCs w:val="32"/>
        </w:rPr>
        <w:t>.</w:t>
      </w:r>
      <w:r>
        <w:rPr>
          <w:rFonts w:eastAsia="仿宋_GB2312" w:hint="eastAsia"/>
          <w:sz w:val="32"/>
          <w:szCs w:val="32"/>
        </w:rPr>
        <w:t>“三公”经费：指单位用财政拨款安排的因公出国（境）费、公务用车购置及运行费和公务接待费。其中，因公出国</w:t>
      </w:r>
      <w:r>
        <w:rPr>
          <w:rFonts w:eastAsia="仿宋_GB2312" w:hint="eastAsia"/>
          <w:sz w:val="32"/>
          <w:szCs w:val="32"/>
        </w:rPr>
        <w:lastRenderedPageBreak/>
        <w:t>（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B377EC" w:rsidRDefault="00F95364">
      <w:pPr>
        <w:spacing w:line="600" w:lineRule="exact"/>
        <w:ind w:firstLine="640"/>
        <w:rPr>
          <w:rFonts w:eastAsia="仿宋_GB2312"/>
          <w:sz w:val="32"/>
          <w:szCs w:val="32"/>
        </w:rPr>
      </w:pPr>
      <w:r>
        <w:rPr>
          <w:rFonts w:eastAsia="仿宋_GB2312" w:hint="eastAsia"/>
          <w:sz w:val="32"/>
          <w:szCs w:val="32"/>
        </w:rPr>
        <w:t>17</w:t>
      </w:r>
      <w:r>
        <w:rPr>
          <w:rFonts w:eastAsia="仿宋_GB2312"/>
          <w:sz w:val="32"/>
          <w:szCs w:val="32"/>
        </w:rPr>
        <w:t>.</w:t>
      </w:r>
      <w:r>
        <w:rPr>
          <w:rFonts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377EC" w:rsidRDefault="00F95364">
      <w:pPr>
        <w:spacing w:line="600" w:lineRule="exact"/>
        <w:jc w:val="center"/>
        <w:outlineLvl w:val="0"/>
        <w:rPr>
          <w:rFonts w:ascii="仿宋" w:eastAsia="仿宋" w:hAnsi="仿宋"/>
          <w:b/>
          <w:sz w:val="44"/>
          <w:szCs w:val="44"/>
        </w:rPr>
      </w:pPr>
      <w:bookmarkStart w:id="75" w:name="_Toc15377226"/>
      <w:r>
        <w:rPr>
          <w:rFonts w:ascii="仿宋" w:eastAsia="仿宋" w:hAnsi="仿宋"/>
          <w:b/>
          <w:sz w:val="44"/>
          <w:szCs w:val="44"/>
        </w:rPr>
        <w:br w:type="page"/>
      </w:r>
      <w:bookmarkStart w:id="76" w:name="_Toc15396614"/>
    </w:p>
    <w:p w:rsidR="00B377EC" w:rsidRDefault="00F95364">
      <w:pPr>
        <w:spacing w:line="600" w:lineRule="exact"/>
        <w:jc w:val="center"/>
        <w:outlineLvl w:val="0"/>
        <w:rPr>
          <w:rFonts w:ascii="黑体" w:eastAsia="黑体" w:hAnsi="黑体"/>
          <w:bCs/>
          <w:kern w:val="44"/>
          <w:sz w:val="44"/>
          <w:szCs w:val="44"/>
        </w:rPr>
      </w:pPr>
      <w:bookmarkStart w:id="77" w:name="_Toc113284444"/>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76"/>
      <w:bookmarkEnd w:id="77"/>
    </w:p>
    <w:tbl>
      <w:tblPr>
        <w:tblW w:w="5621" w:type="pct"/>
        <w:jc w:val="center"/>
        <w:tblLook w:val="04A0"/>
      </w:tblPr>
      <w:tblGrid>
        <w:gridCol w:w="1003"/>
        <w:gridCol w:w="728"/>
        <w:gridCol w:w="1002"/>
        <w:gridCol w:w="1778"/>
        <w:gridCol w:w="412"/>
        <w:gridCol w:w="1312"/>
        <w:gridCol w:w="3345"/>
      </w:tblGrid>
      <w:tr w:rsidR="00B377EC">
        <w:trPr>
          <w:trHeight w:val="675"/>
          <w:jc w:val="center"/>
        </w:trPr>
        <w:tc>
          <w:tcPr>
            <w:tcW w:w="5000" w:type="pct"/>
            <w:gridSpan w:val="7"/>
            <w:tcBorders>
              <w:top w:val="nil"/>
              <w:left w:val="nil"/>
              <w:bottom w:val="nil"/>
              <w:right w:val="nil"/>
            </w:tcBorders>
            <w:shd w:val="clear" w:color="auto" w:fill="auto"/>
            <w:vAlign w:val="center"/>
          </w:tcPr>
          <w:p w:rsidR="00B377EC" w:rsidRDefault="00B377EC">
            <w:pPr>
              <w:widowControl/>
              <w:rPr>
                <w:bCs/>
                <w:kern w:val="0"/>
                <w:szCs w:val="32"/>
              </w:rPr>
            </w:pPr>
            <w:bookmarkStart w:id="78" w:name="_Toc15396618"/>
          </w:p>
          <w:p w:rsidR="00B377EC" w:rsidRDefault="00F95364">
            <w:pPr>
              <w:widowControl/>
              <w:jc w:val="center"/>
              <w:textAlignment w:val="center"/>
              <w:rPr>
                <w:rFonts w:asciiTheme="majorEastAsia" w:eastAsiaTheme="majorEastAsia" w:hAnsiTheme="majorEastAsia"/>
                <w:b/>
                <w:bCs/>
                <w:kern w:val="0"/>
                <w:sz w:val="24"/>
              </w:rPr>
            </w:pPr>
            <w:r>
              <w:rPr>
                <w:rFonts w:asciiTheme="majorEastAsia" w:eastAsiaTheme="majorEastAsia" w:hAnsiTheme="majorEastAsia" w:hint="eastAsia"/>
                <w:b/>
                <w:bCs/>
                <w:kern w:val="0"/>
                <w:sz w:val="24"/>
              </w:rPr>
              <w:t>2021年100万</w:t>
            </w:r>
            <w:r>
              <w:rPr>
                <w:rFonts w:asciiTheme="majorEastAsia" w:eastAsiaTheme="majorEastAsia" w:hAnsiTheme="majorEastAsia"/>
                <w:b/>
                <w:bCs/>
                <w:kern w:val="0"/>
                <w:sz w:val="24"/>
              </w:rPr>
              <w:t>元以上（含）特定</w:t>
            </w:r>
            <w:r>
              <w:rPr>
                <w:rFonts w:asciiTheme="majorEastAsia" w:eastAsiaTheme="majorEastAsia" w:hAnsiTheme="majorEastAsia" w:hint="eastAsia"/>
                <w:b/>
                <w:bCs/>
                <w:kern w:val="0"/>
                <w:sz w:val="24"/>
              </w:rPr>
              <w:t>目标</w:t>
            </w:r>
            <w:r>
              <w:rPr>
                <w:rFonts w:asciiTheme="majorEastAsia" w:eastAsiaTheme="majorEastAsia" w:hAnsiTheme="majorEastAsia"/>
                <w:b/>
                <w:bCs/>
                <w:kern w:val="0"/>
                <w:sz w:val="24"/>
              </w:rPr>
              <w:t>类部门项目绩效</w:t>
            </w:r>
            <w:r>
              <w:rPr>
                <w:rFonts w:asciiTheme="majorEastAsia" w:eastAsiaTheme="majorEastAsia" w:hAnsiTheme="majorEastAsia" w:hint="eastAsia"/>
                <w:b/>
                <w:bCs/>
                <w:kern w:val="0"/>
                <w:sz w:val="24"/>
              </w:rPr>
              <w:t>目标</w:t>
            </w:r>
            <w:r>
              <w:rPr>
                <w:rFonts w:asciiTheme="majorEastAsia" w:eastAsiaTheme="majorEastAsia" w:hAnsiTheme="majorEastAsia"/>
                <w:b/>
                <w:bCs/>
                <w:kern w:val="0"/>
                <w:sz w:val="24"/>
              </w:rPr>
              <w:t>自评</w:t>
            </w:r>
          </w:p>
          <w:p w:rsidR="00B377EC" w:rsidRDefault="00F95364">
            <w:pPr>
              <w:widowControl/>
              <w:jc w:val="center"/>
              <w:textAlignment w:val="center"/>
              <w:rPr>
                <w:rFonts w:asciiTheme="majorEastAsia" w:eastAsiaTheme="majorEastAsia" w:hAnsiTheme="majorEastAsia"/>
                <w:b/>
                <w:bCs/>
                <w:kern w:val="0"/>
                <w:sz w:val="24"/>
              </w:rPr>
            </w:pPr>
            <w:r>
              <w:rPr>
                <w:rFonts w:asciiTheme="majorEastAsia" w:eastAsiaTheme="majorEastAsia" w:hAnsiTheme="majorEastAsia"/>
                <w:b/>
                <w:bCs/>
                <w:kern w:val="0"/>
                <w:sz w:val="24"/>
              </w:rPr>
              <w:t>（省级预算内基本建设资金</w:t>
            </w:r>
            <w:r>
              <w:rPr>
                <w:rFonts w:asciiTheme="majorEastAsia" w:eastAsiaTheme="majorEastAsia" w:hAnsiTheme="majorEastAsia" w:hint="eastAsia"/>
                <w:b/>
                <w:bCs/>
                <w:kern w:val="0"/>
                <w:sz w:val="24"/>
              </w:rPr>
              <w:t>）</w:t>
            </w:r>
          </w:p>
          <w:p w:rsidR="00B377EC" w:rsidRDefault="00B377EC">
            <w:pPr>
              <w:widowControl/>
              <w:jc w:val="center"/>
              <w:textAlignment w:val="center"/>
              <w:rPr>
                <w:bCs/>
                <w:color w:val="000000"/>
                <w:sz w:val="20"/>
                <w:szCs w:val="20"/>
              </w:rPr>
            </w:pPr>
          </w:p>
        </w:tc>
      </w:tr>
      <w:tr w:rsidR="00B377EC">
        <w:trPr>
          <w:trHeight w:val="732"/>
          <w:jc w:val="center"/>
        </w:trPr>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20" w:lineRule="exact"/>
              <w:jc w:val="center"/>
              <w:textAlignment w:val="center"/>
              <w:rPr>
                <w:bCs/>
                <w:color w:val="000000"/>
                <w:sz w:val="20"/>
                <w:szCs w:val="20"/>
              </w:rPr>
            </w:pPr>
            <w:r>
              <w:rPr>
                <w:bCs/>
                <w:color w:val="000000"/>
                <w:kern w:val="0"/>
                <w:sz w:val="20"/>
                <w:szCs w:val="20"/>
              </w:rPr>
              <w:t>主管部门及代码</w:t>
            </w:r>
          </w:p>
        </w:tc>
        <w:tc>
          <w:tcPr>
            <w:tcW w:w="18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jc w:val="center"/>
              <w:rPr>
                <w:sz w:val="20"/>
                <w:szCs w:val="20"/>
              </w:rPr>
            </w:pPr>
            <w:r>
              <w:rPr>
                <w:sz w:val="20"/>
                <w:szCs w:val="20"/>
              </w:rPr>
              <w:t>四川省经济合作局</w:t>
            </w:r>
          </w:p>
        </w:tc>
        <w:tc>
          <w:tcPr>
            <w:tcW w:w="9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20" w:lineRule="exact"/>
              <w:jc w:val="center"/>
              <w:textAlignment w:val="center"/>
              <w:rPr>
                <w:bCs/>
                <w:color w:val="000000"/>
                <w:kern w:val="0"/>
                <w:sz w:val="20"/>
                <w:szCs w:val="20"/>
              </w:rPr>
            </w:pPr>
            <w:r>
              <w:rPr>
                <w:bCs/>
                <w:color w:val="000000"/>
                <w:kern w:val="0"/>
                <w:sz w:val="20"/>
                <w:szCs w:val="20"/>
              </w:rPr>
              <w:t>实施单位</w:t>
            </w:r>
          </w:p>
        </w:tc>
        <w:tc>
          <w:tcPr>
            <w:tcW w:w="1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20" w:lineRule="exact"/>
              <w:jc w:val="center"/>
              <w:textAlignment w:val="center"/>
              <w:rPr>
                <w:color w:val="000000"/>
                <w:sz w:val="20"/>
                <w:szCs w:val="20"/>
              </w:rPr>
            </w:pPr>
            <w:r>
              <w:rPr>
                <w:color w:val="000000"/>
                <w:sz w:val="20"/>
                <w:szCs w:val="20"/>
              </w:rPr>
              <w:t>四川省人民政府驻上海办事处</w:t>
            </w:r>
          </w:p>
        </w:tc>
      </w:tr>
      <w:tr w:rsidR="00B377EC">
        <w:trPr>
          <w:trHeight w:val="341"/>
          <w:jc w:val="center"/>
        </w:trPr>
        <w:tc>
          <w:tcPr>
            <w:tcW w:w="5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20" w:lineRule="exact"/>
              <w:jc w:val="center"/>
              <w:textAlignment w:val="center"/>
              <w:rPr>
                <w:bCs/>
                <w:color w:val="000000"/>
                <w:sz w:val="20"/>
                <w:szCs w:val="20"/>
              </w:rPr>
            </w:pPr>
            <w:r>
              <w:rPr>
                <w:bCs/>
                <w:color w:val="000000"/>
                <w:kern w:val="0"/>
                <w:sz w:val="20"/>
                <w:szCs w:val="20"/>
              </w:rPr>
              <w:t>项目预算执行情况</w:t>
            </w:r>
            <w:r>
              <w:rPr>
                <w:bCs/>
                <w:color w:val="000000"/>
                <w:kern w:val="0"/>
                <w:sz w:val="20"/>
                <w:szCs w:val="20"/>
              </w:rPr>
              <w:br/>
            </w:r>
            <w:r>
              <w:rPr>
                <w:bCs/>
                <w:color w:val="000000"/>
                <w:kern w:val="0"/>
                <w:sz w:val="20"/>
                <w:szCs w:val="20"/>
              </w:rPr>
              <w:t>（万元）</w:t>
            </w:r>
          </w:p>
        </w:tc>
        <w:tc>
          <w:tcPr>
            <w:tcW w:w="9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20" w:lineRule="exact"/>
              <w:jc w:val="left"/>
              <w:textAlignment w:val="center"/>
              <w:rPr>
                <w:bCs/>
                <w:color w:val="000000"/>
                <w:kern w:val="0"/>
                <w:sz w:val="20"/>
                <w:szCs w:val="20"/>
              </w:rPr>
            </w:pPr>
            <w:r>
              <w:rPr>
                <w:bCs/>
                <w:color w:val="000000"/>
                <w:kern w:val="0"/>
                <w:sz w:val="20"/>
                <w:szCs w:val="20"/>
              </w:rPr>
              <w:t>预算数：</w:t>
            </w:r>
          </w:p>
        </w:tc>
        <w:tc>
          <w:tcPr>
            <w:tcW w:w="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jc w:val="left"/>
              <w:rPr>
                <w:sz w:val="20"/>
                <w:szCs w:val="20"/>
              </w:rPr>
            </w:pPr>
            <w:r>
              <w:rPr>
                <w:sz w:val="20"/>
                <w:szCs w:val="20"/>
              </w:rPr>
              <w:t>151.4</w:t>
            </w:r>
          </w:p>
        </w:tc>
        <w:tc>
          <w:tcPr>
            <w:tcW w:w="9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20" w:lineRule="exact"/>
              <w:jc w:val="left"/>
              <w:textAlignment w:val="center"/>
              <w:rPr>
                <w:bCs/>
                <w:color w:val="000000"/>
                <w:kern w:val="0"/>
                <w:sz w:val="20"/>
                <w:szCs w:val="20"/>
              </w:rPr>
            </w:pPr>
            <w:r>
              <w:rPr>
                <w:bCs/>
                <w:color w:val="000000"/>
                <w:kern w:val="0"/>
                <w:sz w:val="20"/>
                <w:szCs w:val="20"/>
              </w:rPr>
              <w:t>执行数：</w:t>
            </w:r>
          </w:p>
        </w:tc>
        <w:tc>
          <w:tcPr>
            <w:tcW w:w="1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20" w:lineRule="exact"/>
              <w:jc w:val="left"/>
              <w:textAlignment w:val="center"/>
              <w:rPr>
                <w:color w:val="000000"/>
                <w:sz w:val="20"/>
                <w:szCs w:val="20"/>
              </w:rPr>
            </w:pPr>
            <w:r>
              <w:rPr>
                <w:color w:val="000000"/>
                <w:sz w:val="20"/>
                <w:szCs w:val="20"/>
              </w:rPr>
              <w:t>149.16</w:t>
            </w:r>
          </w:p>
        </w:tc>
      </w:tr>
      <w:tr w:rsidR="00B377EC">
        <w:trPr>
          <w:trHeight w:val="577"/>
          <w:jc w:val="center"/>
        </w:trPr>
        <w:tc>
          <w:tcPr>
            <w:tcW w:w="5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B377EC">
            <w:pPr>
              <w:spacing w:line="320" w:lineRule="exact"/>
              <w:jc w:val="center"/>
              <w:rPr>
                <w:color w:val="000000"/>
                <w:sz w:val="20"/>
                <w:szCs w:val="20"/>
              </w:rPr>
            </w:pPr>
          </w:p>
        </w:tc>
        <w:tc>
          <w:tcPr>
            <w:tcW w:w="9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20" w:lineRule="exact"/>
              <w:textAlignment w:val="center"/>
              <w:rPr>
                <w:bCs/>
                <w:color w:val="000000"/>
                <w:kern w:val="0"/>
                <w:sz w:val="20"/>
                <w:szCs w:val="20"/>
              </w:rPr>
            </w:pPr>
            <w:r>
              <w:rPr>
                <w:bCs/>
                <w:color w:val="000000"/>
                <w:kern w:val="0"/>
                <w:sz w:val="20"/>
                <w:szCs w:val="20"/>
              </w:rPr>
              <w:t>其中：财政拨款</w:t>
            </w:r>
          </w:p>
        </w:tc>
        <w:tc>
          <w:tcPr>
            <w:tcW w:w="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jc w:val="left"/>
              <w:rPr>
                <w:sz w:val="20"/>
                <w:szCs w:val="20"/>
              </w:rPr>
            </w:pPr>
            <w:r>
              <w:rPr>
                <w:sz w:val="20"/>
                <w:szCs w:val="20"/>
              </w:rPr>
              <w:t>151.4</w:t>
            </w:r>
          </w:p>
        </w:tc>
        <w:tc>
          <w:tcPr>
            <w:tcW w:w="9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20" w:lineRule="exact"/>
              <w:jc w:val="left"/>
              <w:textAlignment w:val="center"/>
              <w:rPr>
                <w:bCs/>
                <w:color w:val="000000"/>
                <w:kern w:val="0"/>
                <w:sz w:val="20"/>
                <w:szCs w:val="20"/>
              </w:rPr>
            </w:pPr>
            <w:r>
              <w:rPr>
                <w:bCs/>
                <w:color w:val="000000"/>
                <w:kern w:val="0"/>
                <w:sz w:val="20"/>
                <w:szCs w:val="20"/>
              </w:rPr>
              <w:t>其中：财政拨款</w:t>
            </w:r>
          </w:p>
        </w:tc>
        <w:tc>
          <w:tcPr>
            <w:tcW w:w="1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20" w:lineRule="exact"/>
              <w:jc w:val="left"/>
              <w:textAlignment w:val="center"/>
              <w:rPr>
                <w:color w:val="000000"/>
                <w:sz w:val="20"/>
                <w:szCs w:val="20"/>
              </w:rPr>
            </w:pPr>
            <w:r>
              <w:rPr>
                <w:color w:val="000000"/>
                <w:sz w:val="20"/>
                <w:szCs w:val="20"/>
              </w:rPr>
              <w:t>149.16</w:t>
            </w:r>
          </w:p>
        </w:tc>
      </w:tr>
      <w:tr w:rsidR="00B377EC">
        <w:trPr>
          <w:trHeight w:val="359"/>
          <w:jc w:val="center"/>
        </w:trPr>
        <w:tc>
          <w:tcPr>
            <w:tcW w:w="5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B377EC">
            <w:pPr>
              <w:spacing w:line="320" w:lineRule="exact"/>
              <w:jc w:val="center"/>
              <w:rPr>
                <w:color w:val="000000"/>
                <w:sz w:val="20"/>
                <w:szCs w:val="20"/>
              </w:rPr>
            </w:pPr>
          </w:p>
        </w:tc>
        <w:tc>
          <w:tcPr>
            <w:tcW w:w="90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20" w:lineRule="exact"/>
              <w:textAlignment w:val="center"/>
              <w:rPr>
                <w:bCs/>
                <w:color w:val="000000"/>
                <w:kern w:val="0"/>
                <w:sz w:val="20"/>
                <w:szCs w:val="20"/>
              </w:rPr>
            </w:pPr>
            <w:r>
              <w:rPr>
                <w:bCs/>
                <w:color w:val="000000"/>
                <w:kern w:val="0"/>
                <w:sz w:val="20"/>
                <w:szCs w:val="20"/>
              </w:rPr>
              <w:t>其他资金</w:t>
            </w:r>
          </w:p>
        </w:tc>
        <w:tc>
          <w:tcPr>
            <w:tcW w:w="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jc w:val="left"/>
              <w:rPr>
                <w:sz w:val="20"/>
                <w:szCs w:val="20"/>
              </w:rPr>
            </w:pPr>
            <w:r>
              <w:rPr>
                <w:sz w:val="20"/>
                <w:szCs w:val="20"/>
              </w:rPr>
              <w:t>0.00</w:t>
            </w:r>
          </w:p>
        </w:tc>
        <w:tc>
          <w:tcPr>
            <w:tcW w:w="9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20" w:lineRule="exact"/>
              <w:jc w:val="left"/>
              <w:textAlignment w:val="center"/>
              <w:rPr>
                <w:bCs/>
                <w:color w:val="000000"/>
                <w:kern w:val="0"/>
                <w:sz w:val="20"/>
                <w:szCs w:val="20"/>
              </w:rPr>
            </w:pPr>
            <w:r>
              <w:rPr>
                <w:bCs/>
                <w:color w:val="000000"/>
                <w:kern w:val="0"/>
                <w:sz w:val="20"/>
                <w:szCs w:val="20"/>
              </w:rPr>
              <w:t>其他资金</w:t>
            </w:r>
          </w:p>
        </w:tc>
        <w:tc>
          <w:tcPr>
            <w:tcW w:w="1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20" w:lineRule="exact"/>
              <w:jc w:val="left"/>
              <w:textAlignment w:val="center"/>
              <w:rPr>
                <w:color w:val="000000"/>
                <w:sz w:val="20"/>
                <w:szCs w:val="20"/>
              </w:rPr>
            </w:pPr>
            <w:r>
              <w:rPr>
                <w:color w:val="000000"/>
                <w:sz w:val="20"/>
                <w:szCs w:val="20"/>
              </w:rPr>
              <w:t>0.00</w:t>
            </w:r>
          </w:p>
        </w:tc>
      </w:tr>
      <w:tr w:rsidR="00B377EC">
        <w:trPr>
          <w:trHeight w:val="300"/>
          <w:jc w:val="center"/>
        </w:trPr>
        <w:tc>
          <w:tcPr>
            <w:tcW w:w="5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20" w:lineRule="exact"/>
              <w:jc w:val="center"/>
              <w:textAlignment w:val="center"/>
              <w:rPr>
                <w:bCs/>
                <w:color w:val="000000"/>
                <w:kern w:val="0"/>
                <w:sz w:val="20"/>
                <w:szCs w:val="20"/>
              </w:rPr>
            </w:pPr>
            <w:r>
              <w:rPr>
                <w:bCs/>
                <w:color w:val="000000"/>
                <w:kern w:val="0"/>
                <w:sz w:val="20"/>
                <w:szCs w:val="20"/>
              </w:rPr>
              <w:t>年度总体目标</w:t>
            </w:r>
          </w:p>
          <w:p w:rsidR="00B377EC" w:rsidRDefault="00F95364">
            <w:pPr>
              <w:widowControl/>
              <w:spacing w:line="320" w:lineRule="exact"/>
              <w:jc w:val="center"/>
              <w:textAlignment w:val="center"/>
              <w:rPr>
                <w:bCs/>
                <w:color w:val="000000"/>
                <w:kern w:val="0"/>
                <w:sz w:val="20"/>
                <w:szCs w:val="20"/>
              </w:rPr>
            </w:pPr>
            <w:r>
              <w:rPr>
                <w:bCs/>
                <w:color w:val="000000"/>
                <w:kern w:val="0"/>
                <w:sz w:val="20"/>
                <w:szCs w:val="20"/>
              </w:rPr>
              <w:t>完成情况</w:t>
            </w:r>
          </w:p>
        </w:tc>
        <w:tc>
          <w:tcPr>
            <w:tcW w:w="204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20" w:lineRule="exact"/>
              <w:jc w:val="center"/>
              <w:textAlignment w:val="center"/>
              <w:rPr>
                <w:bCs/>
                <w:color w:val="000000"/>
                <w:kern w:val="0"/>
                <w:sz w:val="20"/>
                <w:szCs w:val="20"/>
              </w:rPr>
            </w:pPr>
            <w:r>
              <w:rPr>
                <w:bCs/>
                <w:color w:val="000000"/>
                <w:kern w:val="0"/>
                <w:sz w:val="20"/>
                <w:szCs w:val="20"/>
              </w:rPr>
              <w:t>预期目标</w:t>
            </w:r>
          </w:p>
        </w:tc>
        <w:tc>
          <w:tcPr>
            <w:tcW w:w="24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20" w:lineRule="exact"/>
              <w:jc w:val="center"/>
              <w:textAlignment w:val="center"/>
              <w:rPr>
                <w:bCs/>
                <w:color w:val="000000"/>
                <w:kern w:val="0"/>
                <w:sz w:val="20"/>
                <w:szCs w:val="20"/>
              </w:rPr>
            </w:pPr>
            <w:r>
              <w:rPr>
                <w:bCs/>
                <w:color w:val="000000"/>
                <w:kern w:val="0"/>
                <w:sz w:val="20"/>
                <w:szCs w:val="20"/>
              </w:rPr>
              <w:t>目标实际完成情况</w:t>
            </w:r>
          </w:p>
        </w:tc>
      </w:tr>
      <w:tr w:rsidR="00B377EC">
        <w:trPr>
          <w:trHeight w:val="550"/>
          <w:jc w:val="center"/>
        </w:trPr>
        <w:tc>
          <w:tcPr>
            <w:tcW w:w="5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B377EC">
            <w:pPr>
              <w:widowControl/>
              <w:spacing w:line="320" w:lineRule="exact"/>
              <w:jc w:val="center"/>
              <w:textAlignment w:val="center"/>
              <w:rPr>
                <w:bCs/>
                <w:color w:val="000000"/>
                <w:kern w:val="0"/>
                <w:sz w:val="20"/>
                <w:szCs w:val="20"/>
              </w:rPr>
            </w:pPr>
          </w:p>
        </w:tc>
        <w:tc>
          <w:tcPr>
            <w:tcW w:w="204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20" w:lineRule="exact"/>
              <w:textAlignment w:val="top"/>
              <w:rPr>
                <w:color w:val="000000"/>
                <w:sz w:val="20"/>
                <w:szCs w:val="20"/>
              </w:rPr>
            </w:pPr>
            <w:r>
              <w:rPr>
                <w:color w:val="000000"/>
                <w:sz w:val="20"/>
                <w:szCs w:val="20"/>
              </w:rPr>
              <w:t>通过对办公用房维修改造，对电线网线等进行改造，改善办公环境，消除安全隐患，营造整洁美观的办公环境，提高办事处对外形象。</w:t>
            </w:r>
          </w:p>
        </w:tc>
        <w:tc>
          <w:tcPr>
            <w:tcW w:w="24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spacing w:line="320" w:lineRule="exact"/>
              <w:rPr>
                <w:color w:val="000000"/>
                <w:sz w:val="20"/>
                <w:szCs w:val="20"/>
              </w:rPr>
            </w:pPr>
            <w:r>
              <w:rPr>
                <w:color w:val="000000"/>
                <w:sz w:val="20"/>
                <w:szCs w:val="20"/>
              </w:rPr>
              <w:t>通过对办公用房维修改造，对电线网线等进行改造，消除了安全隐患，营造了整洁美观的办公环境，提高了办事处对外形象。</w:t>
            </w:r>
          </w:p>
        </w:tc>
      </w:tr>
      <w:tr w:rsidR="00B377EC">
        <w:trPr>
          <w:trHeight w:val="651"/>
          <w:jc w:val="center"/>
        </w:trPr>
        <w:tc>
          <w:tcPr>
            <w:tcW w:w="523" w:type="pct"/>
            <w:vMerge w:val="restart"/>
            <w:tcBorders>
              <w:top w:val="single" w:sz="4" w:space="0" w:color="000000"/>
              <w:left w:val="single" w:sz="4" w:space="0" w:color="000000"/>
              <w:right w:val="single" w:sz="4" w:space="0" w:color="000000"/>
            </w:tcBorders>
            <w:shd w:val="clear" w:color="auto" w:fill="auto"/>
            <w:vAlign w:val="center"/>
          </w:tcPr>
          <w:p w:rsidR="00B377EC" w:rsidRDefault="00F95364">
            <w:pPr>
              <w:widowControl/>
              <w:spacing w:line="320" w:lineRule="exact"/>
              <w:jc w:val="center"/>
              <w:textAlignment w:val="center"/>
              <w:rPr>
                <w:bCs/>
                <w:color w:val="000000"/>
                <w:kern w:val="0"/>
                <w:sz w:val="20"/>
                <w:szCs w:val="20"/>
              </w:rPr>
            </w:pPr>
            <w:r>
              <w:rPr>
                <w:bCs/>
                <w:color w:val="000000"/>
                <w:kern w:val="0"/>
                <w:sz w:val="20"/>
                <w:szCs w:val="20"/>
              </w:rPr>
              <w:t>年</w:t>
            </w:r>
          </w:p>
          <w:p w:rsidR="00B377EC" w:rsidRDefault="00F95364">
            <w:pPr>
              <w:widowControl/>
              <w:spacing w:line="320" w:lineRule="exact"/>
              <w:jc w:val="center"/>
              <w:textAlignment w:val="center"/>
              <w:rPr>
                <w:bCs/>
                <w:color w:val="000000"/>
                <w:kern w:val="0"/>
                <w:sz w:val="20"/>
                <w:szCs w:val="20"/>
              </w:rPr>
            </w:pPr>
            <w:r>
              <w:rPr>
                <w:bCs/>
                <w:color w:val="000000"/>
                <w:kern w:val="0"/>
                <w:sz w:val="20"/>
                <w:szCs w:val="20"/>
              </w:rPr>
              <w:t>度</w:t>
            </w:r>
          </w:p>
          <w:p w:rsidR="00B377EC" w:rsidRDefault="00F95364">
            <w:pPr>
              <w:widowControl/>
              <w:spacing w:line="320" w:lineRule="exact"/>
              <w:jc w:val="center"/>
              <w:textAlignment w:val="center"/>
              <w:rPr>
                <w:bCs/>
                <w:color w:val="000000"/>
                <w:kern w:val="0"/>
                <w:sz w:val="20"/>
                <w:szCs w:val="20"/>
              </w:rPr>
            </w:pPr>
            <w:r>
              <w:rPr>
                <w:bCs/>
                <w:color w:val="000000"/>
                <w:kern w:val="0"/>
                <w:sz w:val="20"/>
                <w:szCs w:val="20"/>
              </w:rPr>
              <w:t>绩</w:t>
            </w:r>
          </w:p>
          <w:p w:rsidR="00B377EC" w:rsidRDefault="00F95364">
            <w:pPr>
              <w:widowControl/>
              <w:spacing w:line="320" w:lineRule="exact"/>
              <w:jc w:val="center"/>
              <w:textAlignment w:val="center"/>
              <w:rPr>
                <w:bCs/>
                <w:color w:val="000000"/>
                <w:kern w:val="0"/>
                <w:sz w:val="20"/>
                <w:szCs w:val="20"/>
              </w:rPr>
            </w:pPr>
            <w:r>
              <w:rPr>
                <w:bCs/>
                <w:color w:val="000000"/>
                <w:kern w:val="0"/>
                <w:sz w:val="20"/>
                <w:szCs w:val="20"/>
              </w:rPr>
              <w:t>效</w:t>
            </w:r>
          </w:p>
          <w:p w:rsidR="00B377EC" w:rsidRDefault="00F95364">
            <w:pPr>
              <w:widowControl/>
              <w:spacing w:line="320" w:lineRule="exact"/>
              <w:jc w:val="center"/>
              <w:textAlignment w:val="center"/>
              <w:rPr>
                <w:bCs/>
                <w:color w:val="000000"/>
                <w:kern w:val="0"/>
                <w:sz w:val="20"/>
                <w:szCs w:val="20"/>
              </w:rPr>
            </w:pPr>
            <w:r>
              <w:rPr>
                <w:bCs/>
                <w:color w:val="000000"/>
                <w:kern w:val="0"/>
                <w:sz w:val="20"/>
                <w:szCs w:val="20"/>
              </w:rPr>
              <w:t>指</w:t>
            </w:r>
          </w:p>
          <w:p w:rsidR="00B377EC" w:rsidRDefault="00F95364">
            <w:pPr>
              <w:widowControl/>
              <w:spacing w:line="320" w:lineRule="exact"/>
              <w:jc w:val="center"/>
              <w:textAlignment w:val="center"/>
              <w:rPr>
                <w:bCs/>
                <w:color w:val="000000"/>
                <w:kern w:val="0"/>
                <w:sz w:val="20"/>
                <w:szCs w:val="20"/>
              </w:rPr>
            </w:pPr>
            <w:r>
              <w:rPr>
                <w:bCs/>
                <w:color w:val="000000"/>
                <w:kern w:val="0"/>
                <w:sz w:val="20"/>
                <w:szCs w:val="20"/>
              </w:rPr>
              <w:t>标</w:t>
            </w:r>
          </w:p>
          <w:p w:rsidR="00B377EC" w:rsidRDefault="00F95364">
            <w:pPr>
              <w:widowControl/>
              <w:spacing w:line="320" w:lineRule="exact"/>
              <w:jc w:val="center"/>
              <w:textAlignment w:val="center"/>
              <w:rPr>
                <w:bCs/>
                <w:color w:val="000000"/>
                <w:kern w:val="0"/>
                <w:sz w:val="20"/>
                <w:szCs w:val="20"/>
              </w:rPr>
            </w:pPr>
            <w:r>
              <w:rPr>
                <w:bCs/>
                <w:color w:val="000000"/>
                <w:kern w:val="0"/>
                <w:sz w:val="20"/>
                <w:szCs w:val="20"/>
              </w:rPr>
              <w:t>完</w:t>
            </w:r>
          </w:p>
          <w:p w:rsidR="00B377EC" w:rsidRDefault="00F95364">
            <w:pPr>
              <w:widowControl/>
              <w:spacing w:line="320" w:lineRule="exact"/>
              <w:jc w:val="center"/>
              <w:textAlignment w:val="center"/>
              <w:rPr>
                <w:bCs/>
                <w:color w:val="000000"/>
                <w:kern w:val="0"/>
                <w:sz w:val="20"/>
                <w:szCs w:val="20"/>
              </w:rPr>
            </w:pPr>
            <w:r>
              <w:rPr>
                <w:bCs/>
                <w:color w:val="000000"/>
                <w:kern w:val="0"/>
                <w:sz w:val="20"/>
                <w:szCs w:val="20"/>
              </w:rPr>
              <w:t>成</w:t>
            </w:r>
          </w:p>
          <w:p w:rsidR="00B377EC" w:rsidRDefault="00F95364">
            <w:pPr>
              <w:widowControl/>
              <w:spacing w:line="320" w:lineRule="exact"/>
              <w:jc w:val="center"/>
              <w:textAlignment w:val="center"/>
              <w:rPr>
                <w:bCs/>
                <w:color w:val="000000"/>
                <w:kern w:val="0"/>
                <w:sz w:val="20"/>
                <w:szCs w:val="20"/>
              </w:rPr>
            </w:pPr>
            <w:r>
              <w:rPr>
                <w:bCs/>
                <w:color w:val="000000"/>
                <w:kern w:val="0"/>
                <w:sz w:val="20"/>
                <w:szCs w:val="20"/>
              </w:rPr>
              <w:t>情</w:t>
            </w:r>
          </w:p>
          <w:p w:rsidR="00B377EC" w:rsidRDefault="00F95364">
            <w:pPr>
              <w:widowControl/>
              <w:spacing w:line="320" w:lineRule="exact"/>
              <w:jc w:val="center"/>
              <w:textAlignment w:val="center"/>
              <w:rPr>
                <w:bCs/>
                <w:color w:val="000000"/>
                <w:kern w:val="0"/>
                <w:sz w:val="20"/>
                <w:szCs w:val="20"/>
              </w:rPr>
            </w:pPr>
            <w:r>
              <w:rPr>
                <w:bCs/>
                <w:color w:val="000000"/>
                <w:kern w:val="0"/>
                <w:sz w:val="20"/>
                <w:szCs w:val="20"/>
              </w:rPr>
              <w:t>况</w:t>
            </w:r>
          </w:p>
        </w:tc>
        <w:tc>
          <w:tcPr>
            <w:tcW w:w="380" w:type="pct"/>
            <w:tcBorders>
              <w:top w:val="single" w:sz="4" w:space="0" w:color="000000"/>
              <w:left w:val="nil"/>
              <w:bottom w:val="single" w:sz="4" w:space="0" w:color="000000"/>
              <w:right w:val="single" w:sz="4" w:space="0" w:color="000000"/>
            </w:tcBorders>
            <w:shd w:val="clear" w:color="auto" w:fill="auto"/>
            <w:vAlign w:val="center"/>
          </w:tcPr>
          <w:p w:rsidR="00B377EC" w:rsidRDefault="00F95364">
            <w:pPr>
              <w:widowControl/>
              <w:spacing w:line="320" w:lineRule="exact"/>
              <w:jc w:val="center"/>
              <w:textAlignment w:val="center"/>
              <w:rPr>
                <w:bCs/>
                <w:color w:val="000000"/>
                <w:kern w:val="0"/>
                <w:sz w:val="20"/>
                <w:szCs w:val="20"/>
              </w:rPr>
            </w:pPr>
            <w:r>
              <w:rPr>
                <w:bCs/>
                <w:color w:val="000000"/>
                <w:kern w:val="0"/>
                <w:sz w:val="20"/>
                <w:szCs w:val="20"/>
              </w:rPr>
              <w:t>一级</w:t>
            </w:r>
          </w:p>
          <w:p w:rsidR="00B377EC" w:rsidRDefault="00F95364">
            <w:pPr>
              <w:widowControl/>
              <w:spacing w:line="320" w:lineRule="exact"/>
              <w:jc w:val="center"/>
              <w:textAlignment w:val="center"/>
              <w:rPr>
                <w:bCs/>
                <w:color w:val="000000"/>
                <w:kern w:val="0"/>
                <w:sz w:val="20"/>
                <w:szCs w:val="20"/>
              </w:rPr>
            </w:pPr>
            <w:r>
              <w:rPr>
                <w:bCs/>
                <w:color w:val="000000"/>
                <w:kern w:val="0"/>
                <w:sz w:val="20"/>
                <w:szCs w:val="20"/>
              </w:rPr>
              <w:t>指标</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20" w:lineRule="exact"/>
              <w:jc w:val="center"/>
              <w:textAlignment w:val="center"/>
              <w:rPr>
                <w:bCs/>
                <w:color w:val="000000"/>
                <w:kern w:val="0"/>
                <w:sz w:val="20"/>
                <w:szCs w:val="20"/>
              </w:rPr>
            </w:pPr>
            <w:r>
              <w:rPr>
                <w:bCs/>
                <w:color w:val="000000"/>
                <w:kern w:val="0"/>
                <w:sz w:val="20"/>
                <w:szCs w:val="20"/>
              </w:rPr>
              <w:t>二级指标</w:t>
            </w:r>
          </w:p>
        </w:tc>
        <w:tc>
          <w:tcPr>
            <w:tcW w:w="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20" w:lineRule="exact"/>
              <w:jc w:val="center"/>
              <w:textAlignment w:val="center"/>
              <w:rPr>
                <w:bCs/>
                <w:color w:val="000000"/>
                <w:kern w:val="0"/>
                <w:sz w:val="20"/>
                <w:szCs w:val="20"/>
              </w:rPr>
            </w:pPr>
            <w:r>
              <w:rPr>
                <w:bCs/>
                <w:color w:val="000000"/>
                <w:kern w:val="0"/>
                <w:sz w:val="20"/>
                <w:szCs w:val="20"/>
              </w:rPr>
              <w:t>三级指标</w:t>
            </w:r>
          </w:p>
        </w:tc>
        <w:tc>
          <w:tcPr>
            <w:tcW w:w="9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20" w:lineRule="exact"/>
              <w:jc w:val="center"/>
              <w:textAlignment w:val="center"/>
              <w:rPr>
                <w:bCs/>
                <w:color w:val="000000"/>
                <w:kern w:val="0"/>
                <w:sz w:val="20"/>
                <w:szCs w:val="20"/>
              </w:rPr>
            </w:pPr>
            <w:r>
              <w:rPr>
                <w:bCs/>
                <w:color w:val="000000"/>
                <w:kern w:val="0"/>
                <w:sz w:val="20"/>
                <w:szCs w:val="20"/>
              </w:rPr>
              <w:t>预期指标值</w:t>
            </w:r>
          </w:p>
        </w:tc>
        <w:tc>
          <w:tcPr>
            <w:tcW w:w="1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20" w:lineRule="exact"/>
              <w:jc w:val="center"/>
              <w:textAlignment w:val="center"/>
              <w:rPr>
                <w:bCs/>
                <w:color w:val="000000"/>
                <w:kern w:val="0"/>
                <w:sz w:val="20"/>
                <w:szCs w:val="20"/>
              </w:rPr>
            </w:pPr>
            <w:r>
              <w:rPr>
                <w:bCs/>
                <w:color w:val="000000"/>
                <w:kern w:val="0"/>
                <w:sz w:val="20"/>
                <w:szCs w:val="20"/>
              </w:rPr>
              <w:t>实际完成指标值</w:t>
            </w:r>
          </w:p>
        </w:tc>
      </w:tr>
      <w:tr w:rsidR="00B377EC">
        <w:trPr>
          <w:trHeight w:val="70"/>
          <w:jc w:val="center"/>
        </w:trPr>
        <w:tc>
          <w:tcPr>
            <w:tcW w:w="523" w:type="pct"/>
            <w:vMerge/>
            <w:tcBorders>
              <w:left w:val="single" w:sz="4" w:space="0" w:color="000000"/>
              <w:right w:val="single" w:sz="4" w:space="0" w:color="000000"/>
            </w:tcBorders>
            <w:shd w:val="clear" w:color="auto" w:fill="auto"/>
            <w:vAlign w:val="center"/>
          </w:tcPr>
          <w:p w:rsidR="00B377EC" w:rsidRDefault="00B377EC">
            <w:pPr>
              <w:spacing w:line="320" w:lineRule="exact"/>
              <w:jc w:val="center"/>
              <w:rPr>
                <w:bCs/>
                <w:color w:val="000000"/>
                <w:sz w:val="20"/>
                <w:szCs w:val="20"/>
              </w:rPr>
            </w:pPr>
          </w:p>
        </w:tc>
        <w:tc>
          <w:tcPr>
            <w:tcW w:w="380" w:type="pct"/>
            <w:vMerge w:val="restart"/>
            <w:tcBorders>
              <w:top w:val="single" w:sz="4" w:space="0" w:color="000000"/>
              <w:left w:val="single" w:sz="4" w:space="0" w:color="000000"/>
              <w:right w:val="single" w:sz="4" w:space="0" w:color="000000"/>
            </w:tcBorders>
            <w:shd w:val="clear" w:color="auto" w:fill="auto"/>
            <w:vAlign w:val="center"/>
          </w:tcPr>
          <w:p w:rsidR="00B377EC" w:rsidRDefault="00F95364">
            <w:pPr>
              <w:widowControl/>
              <w:spacing w:line="320" w:lineRule="exact"/>
              <w:jc w:val="center"/>
              <w:textAlignment w:val="center"/>
              <w:rPr>
                <w:bCs/>
                <w:color w:val="000000"/>
                <w:kern w:val="0"/>
                <w:sz w:val="20"/>
                <w:szCs w:val="20"/>
              </w:rPr>
            </w:pPr>
            <w:r>
              <w:rPr>
                <w:bCs/>
                <w:color w:val="000000"/>
                <w:kern w:val="0"/>
                <w:sz w:val="20"/>
                <w:szCs w:val="20"/>
              </w:rPr>
              <w:t>完成</w:t>
            </w:r>
          </w:p>
          <w:p w:rsidR="00B377EC" w:rsidRDefault="00F95364">
            <w:pPr>
              <w:widowControl/>
              <w:spacing w:line="320" w:lineRule="exact"/>
              <w:jc w:val="center"/>
              <w:textAlignment w:val="center"/>
              <w:rPr>
                <w:bCs/>
                <w:color w:val="000000"/>
                <w:kern w:val="0"/>
                <w:sz w:val="20"/>
                <w:szCs w:val="20"/>
              </w:rPr>
            </w:pPr>
            <w:r>
              <w:rPr>
                <w:bCs/>
                <w:color w:val="000000"/>
                <w:kern w:val="0"/>
                <w:sz w:val="20"/>
                <w:szCs w:val="20"/>
              </w:rPr>
              <w:t>指标</w:t>
            </w:r>
          </w:p>
        </w:tc>
        <w:tc>
          <w:tcPr>
            <w:tcW w:w="523" w:type="pct"/>
            <w:vMerge w:val="restart"/>
            <w:tcBorders>
              <w:top w:val="single" w:sz="4" w:space="0" w:color="000000"/>
              <w:left w:val="single" w:sz="4" w:space="0" w:color="000000"/>
              <w:right w:val="single" w:sz="4" w:space="0" w:color="000000"/>
            </w:tcBorders>
            <w:shd w:val="clear" w:color="auto" w:fill="auto"/>
            <w:vAlign w:val="center"/>
          </w:tcPr>
          <w:p w:rsidR="00B377EC" w:rsidRDefault="00F95364">
            <w:pPr>
              <w:widowControl/>
              <w:spacing w:line="300" w:lineRule="exact"/>
              <w:jc w:val="center"/>
              <w:textAlignment w:val="center"/>
              <w:rPr>
                <w:bCs/>
                <w:color w:val="000000"/>
                <w:kern w:val="0"/>
                <w:sz w:val="20"/>
                <w:szCs w:val="20"/>
              </w:rPr>
            </w:pPr>
            <w:r>
              <w:rPr>
                <w:bCs/>
                <w:color w:val="000000"/>
                <w:kern w:val="0"/>
                <w:sz w:val="20"/>
                <w:szCs w:val="20"/>
              </w:rPr>
              <w:t>数量指标</w:t>
            </w:r>
          </w:p>
        </w:tc>
        <w:tc>
          <w:tcPr>
            <w:tcW w:w="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00" w:lineRule="exact"/>
              <w:jc w:val="center"/>
              <w:textAlignment w:val="bottom"/>
              <w:rPr>
                <w:color w:val="000000"/>
                <w:sz w:val="20"/>
                <w:szCs w:val="20"/>
              </w:rPr>
            </w:pPr>
            <w:r>
              <w:rPr>
                <w:color w:val="000000"/>
                <w:sz w:val="20"/>
                <w:szCs w:val="20"/>
              </w:rPr>
              <w:t>办公用房维修改造</w:t>
            </w:r>
          </w:p>
        </w:tc>
        <w:tc>
          <w:tcPr>
            <w:tcW w:w="9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00" w:lineRule="exact"/>
              <w:jc w:val="center"/>
              <w:textAlignment w:val="bottom"/>
              <w:rPr>
                <w:color w:val="000000"/>
                <w:sz w:val="20"/>
                <w:szCs w:val="20"/>
              </w:rPr>
            </w:pPr>
            <w:r>
              <w:rPr>
                <w:color w:val="000000"/>
                <w:sz w:val="20"/>
                <w:szCs w:val="20"/>
              </w:rPr>
              <w:t>≤1700</w:t>
            </w:r>
            <w:r>
              <w:rPr>
                <w:color w:val="000000"/>
                <w:sz w:val="20"/>
                <w:szCs w:val="20"/>
              </w:rPr>
              <w:t>㎡</w:t>
            </w:r>
          </w:p>
        </w:tc>
        <w:tc>
          <w:tcPr>
            <w:tcW w:w="1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00" w:lineRule="exact"/>
              <w:jc w:val="center"/>
              <w:textAlignment w:val="bottom"/>
              <w:rPr>
                <w:color w:val="000000"/>
                <w:sz w:val="20"/>
                <w:szCs w:val="20"/>
              </w:rPr>
            </w:pPr>
            <w:r>
              <w:rPr>
                <w:color w:val="000000"/>
                <w:sz w:val="20"/>
                <w:szCs w:val="20"/>
              </w:rPr>
              <w:t>≤1700</w:t>
            </w:r>
            <w:r>
              <w:rPr>
                <w:color w:val="000000"/>
                <w:sz w:val="20"/>
                <w:szCs w:val="20"/>
              </w:rPr>
              <w:t>㎡</w:t>
            </w:r>
          </w:p>
        </w:tc>
      </w:tr>
      <w:tr w:rsidR="00B377EC">
        <w:trPr>
          <w:trHeight w:val="70"/>
          <w:jc w:val="center"/>
        </w:trPr>
        <w:tc>
          <w:tcPr>
            <w:tcW w:w="523" w:type="pct"/>
            <w:vMerge/>
            <w:tcBorders>
              <w:left w:val="single" w:sz="4" w:space="0" w:color="000000"/>
              <w:right w:val="single" w:sz="4" w:space="0" w:color="000000"/>
            </w:tcBorders>
            <w:shd w:val="clear" w:color="auto" w:fill="auto"/>
            <w:vAlign w:val="center"/>
          </w:tcPr>
          <w:p w:rsidR="00B377EC" w:rsidRDefault="00B377EC">
            <w:pPr>
              <w:widowControl/>
              <w:spacing w:line="320" w:lineRule="exact"/>
              <w:jc w:val="center"/>
              <w:textAlignment w:val="bottom"/>
              <w:rPr>
                <w:sz w:val="20"/>
                <w:szCs w:val="20"/>
              </w:rPr>
            </w:pPr>
          </w:p>
        </w:tc>
        <w:tc>
          <w:tcPr>
            <w:tcW w:w="380" w:type="pct"/>
            <w:vMerge/>
            <w:tcBorders>
              <w:left w:val="single" w:sz="4" w:space="0" w:color="000000"/>
              <w:bottom w:val="single" w:sz="4" w:space="0" w:color="000000"/>
              <w:right w:val="single" w:sz="4" w:space="0" w:color="000000"/>
            </w:tcBorders>
            <w:shd w:val="clear" w:color="auto" w:fill="auto"/>
            <w:vAlign w:val="center"/>
          </w:tcPr>
          <w:p w:rsidR="00B377EC" w:rsidRDefault="00B377EC">
            <w:pPr>
              <w:widowControl/>
              <w:spacing w:line="320" w:lineRule="exact"/>
              <w:jc w:val="center"/>
              <w:textAlignment w:val="bottom"/>
              <w:rPr>
                <w:sz w:val="20"/>
                <w:szCs w:val="20"/>
              </w:rPr>
            </w:pPr>
          </w:p>
        </w:tc>
        <w:tc>
          <w:tcPr>
            <w:tcW w:w="523" w:type="pct"/>
            <w:vMerge/>
            <w:tcBorders>
              <w:left w:val="single" w:sz="4" w:space="0" w:color="000000"/>
              <w:bottom w:val="single" w:sz="4" w:space="0" w:color="000000"/>
              <w:right w:val="single" w:sz="4" w:space="0" w:color="000000"/>
            </w:tcBorders>
            <w:shd w:val="clear" w:color="auto" w:fill="auto"/>
            <w:vAlign w:val="center"/>
          </w:tcPr>
          <w:p w:rsidR="00B377EC" w:rsidRDefault="00B377EC">
            <w:pPr>
              <w:widowControl/>
              <w:spacing w:line="300" w:lineRule="exact"/>
              <w:jc w:val="center"/>
              <w:textAlignment w:val="bottom"/>
              <w:rPr>
                <w:sz w:val="20"/>
                <w:szCs w:val="20"/>
              </w:rPr>
            </w:pPr>
          </w:p>
        </w:tc>
        <w:tc>
          <w:tcPr>
            <w:tcW w:w="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00" w:lineRule="exact"/>
              <w:jc w:val="center"/>
              <w:textAlignment w:val="bottom"/>
              <w:rPr>
                <w:color w:val="000000"/>
                <w:sz w:val="20"/>
                <w:szCs w:val="20"/>
              </w:rPr>
            </w:pPr>
            <w:r>
              <w:rPr>
                <w:color w:val="000000"/>
                <w:sz w:val="20"/>
                <w:szCs w:val="20"/>
              </w:rPr>
              <w:t>业务用房维修改造</w:t>
            </w:r>
          </w:p>
        </w:tc>
        <w:tc>
          <w:tcPr>
            <w:tcW w:w="9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00" w:lineRule="exact"/>
              <w:jc w:val="center"/>
              <w:textAlignment w:val="bottom"/>
              <w:rPr>
                <w:color w:val="000000"/>
                <w:sz w:val="20"/>
                <w:szCs w:val="20"/>
              </w:rPr>
            </w:pPr>
            <w:r>
              <w:rPr>
                <w:rFonts w:ascii="宋体" w:hAnsi="宋体" w:cs="宋体" w:hint="eastAsia"/>
                <w:color w:val="000000"/>
                <w:sz w:val="20"/>
                <w:szCs w:val="20"/>
              </w:rPr>
              <w:t>≦</w:t>
            </w:r>
            <w:r>
              <w:rPr>
                <w:color w:val="000000"/>
                <w:sz w:val="20"/>
                <w:szCs w:val="20"/>
              </w:rPr>
              <w:t>1020</w:t>
            </w:r>
            <w:r>
              <w:rPr>
                <w:color w:val="000000"/>
                <w:sz w:val="20"/>
                <w:szCs w:val="20"/>
              </w:rPr>
              <w:t>㎡</w:t>
            </w:r>
          </w:p>
        </w:tc>
        <w:tc>
          <w:tcPr>
            <w:tcW w:w="1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00" w:lineRule="exact"/>
              <w:jc w:val="center"/>
              <w:textAlignment w:val="bottom"/>
              <w:rPr>
                <w:color w:val="000000"/>
                <w:sz w:val="20"/>
                <w:szCs w:val="20"/>
              </w:rPr>
            </w:pPr>
            <w:r>
              <w:rPr>
                <w:rFonts w:ascii="宋体" w:hAnsi="宋体" w:cs="宋体" w:hint="eastAsia"/>
                <w:color w:val="000000"/>
                <w:sz w:val="20"/>
                <w:szCs w:val="20"/>
              </w:rPr>
              <w:t>≦</w:t>
            </w:r>
            <w:r>
              <w:rPr>
                <w:color w:val="000000"/>
                <w:sz w:val="20"/>
                <w:szCs w:val="20"/>
              </w:rPr>
              <w:t>1020</w:t>
            </w:r>
            <w:r>
              <w:rPr>
                <w:color w:val="000000"/>
                <w:sz w:val="20"/>
                <w:szCs w:val="20"/>
              </w:rPr>
              <w:t>㎡</w:t>
            </w:r>
          </w:p>
        </w:tc>
      </w:tr>
      <w:tr w:rsidR="00B377EC">
        <w:trPr>
          <w:trHeight w:val="70"/>
          <w:jc w:val="center"/>
        </w:trPr>
        <w:tc>
          <w:tcPr>
            <w:tcW w:w="523" w:type="pct"/>
            <w:vMerge/>
            <w:tcBorders>
              <w:left w:val="single" w:sz="4" w:space="0" w:color="000000"/>
              <w:right w:val="single" w:sz="4" w:space="0" w:color="000000"/>
            </w:tcBorders>
            <w:shd w:val="clear" w:color="auto" w:fill="auto"/>
            <w:vAlign w:val="center"/>
          </w:tcPr>
          <w:p w:rsidR="00B377EC" w:rsidRDefault="00B377EC">
            <w:pPr>
              <w:spacing w:line="320" w:lineRule="exact"/>
              <w:jc w:val="center"/>
              <w:rPr>
                <w:color w:val="000000"/>
                <w:sz w:val="20"/>
                <w:szCs w:val="20"/>
              </w:rPr>
            </w:pPr>
          </w:p>
        </w:tc>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B377EC">
            <w:pPr>
              <w:widowControl/>
              <w:spacing w:line="320" w:lineRule="exact"/>
              <w:jc w:val="center"/>
              <w:textAlignment w:val="center"/>
              <w:rPr>
                <w:bCs/>
                <w:color w:val="000000"/>
                <w:kern w:val="0"/>
                <w:sz w:val="20"/>
                <w:szCs w:val="20"/>
              </w:rPr>
            </w:pPr>
          </w:p>
        </w:tc>
        <w:tc>
          <w:tcPr>
            <w:tcW w:w="523" w:type="pct"/>
            <w:vMerge w:val="restart"/>
            <w:tcBorders>
              <w:top w:val="single" w:sz="4" w:space="0" w:color="000000"/>
              <w:left w:val="single" w:sz="4" w:space="0" w:color="000000"/>
              <w:right w:val="single" w:sz="4" w:space="0" w:color="000000"/>
            </w:tcBorders>
            <w:shd w:val="clear" w:color="auto" w:fill="auto"/>
            <w:vAlign w:val="center"/>
          </w:tcPr>
          <w:p w:rsidR="00B377EC" w:rsidRDefault="00F95364">
            <w:pPr>
              <w:widowControl/>
              <w:spacing w:line="300" w:lineRule="exact"/>
              <w:jc w:val="center"/>
              <w:textAlignment w:val="center"/>
              <w:rPr>
                <w:bCs/>
                <w:color w:val="000000"/>
                <w:kern w:val="0"/>
                <w:sz w:val="20"/>
                <w:szCs w:val="20"/>
              </w:rPr>
            </w:pPr>
            <w:r>
              <w:rPr>
                <w:bCs/>
                <w:color w:val="000000"/>
                <w:kern w:val="0"/>
                <w:sz w:val="20"/>
                <w:szCs w:val="20"/>
              </w:rPr>
              <w:t>质量指标</w:t>
            </w:r>
          </w:p>
        </w:tc>
        <w:tc>
          <w:tcPr>
            <w:tcW w:w="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280" w:lineRule="exact"/>
              <w:jc w:val="center"/>
              <w:textAlignment w:val="bottom"/>
              <w:rPr>
                <w:color w:val="000000"/>
                <w:sz w:val="20"/>
                <w:szCs w:val="20"/>
              </w:rPr>
            </w:pPr>
            <w:r>
              <w:rPr>
                <w:color w:val="000000"/>
                <w:sz w:val="20"/>
                <w:szCs w:val="20"/>
              </w:rPr>
              <w:t>办公用房维修改造</w:t>
            </w:r>
          </w:p>
        </w:tc>
        <w:tc>
          <w:tcPr>
            <w:tcW w:w="9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280" w:lineRule="exact"/>
              <w:jc w:val="center"/>
              <w:textAlignment w:val="bottom"/>
              <w:rPr>
                <w:color w:val="000000"/>
                <w:sz w:val="20"/>
                <w:szCs w:val="20"/>
              </w:rPr>
            </w:pPr>
            <w:r>
              <w:rPr>
                <w:color w:val="000000"/>
                <w:sz w:val="20"/>
                <w:szCs w:val="20"/>
              </w:rPr>
              <w:t>安全整洁美观</w:t>
            </w:r>
          </w:p>
        </w:tc>
        <w:tc>
          <w:tcPr>
            <w:tcW w:w="1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280" w:lineRule="exact"/>
              <w:jc w:val="center"/>
              <w:textAlignment w:val="bottom"/>
              <w:rPr>
                <w:color w:val="000000"/>
                <w:sz w:val="20"/>
                <w:szCs w:val="20"/>
              </w:rPr>
            </w:pPr>
            <w:r>
              <w:rPr>
                <w:color w:val="000000"/>
                <w:sz w:val="20"/>
                <w:szCs w:val="20"/>
              </w:rPr>
              <w:t>安全整洁美观</w:t>
            </w:r>
          </w:p>
        </w:tc>
      </w:tr>
      <w:tr w:rsidR="00B377EC">
        <w:trPr>
          <w:trHeight w:val="70"/>
          <w:jc w:val="center"/>
        </w:trPr>
        <w:tc>
          <w:tcPr>
            <w:tcW w:w="523" w:type="pct"/>
            <w:vMerge/>
            <w:tcBorders>
              <w:left w:val="single" w:sz="4" w:space="0" w:color="000000"/>
              <w:right w:val="single" w:sz="4" w:space="0" w:color="000000"/>
            </w:tcBorders>
            <w:shd w:val="clear" w:color="auto" w:fill="auto"/>
            <w:vAlign w:val="center"/>
          </w:tcPr>
          <w:p w:rsidR="00B377EC" w:rsidRDefault="00B377EC">
            <w:pPr>
              <w:widowControl/>
              <w:spacing w:line="320" w:lineRule="exact"/>
              <w:jc w:val="center"/>
              <w:textAlignment w:val="bottom"/>
              <w:rPr>
                <w:sz w:val="20"/>
                <w:szCs w:val="20"/>
              </w:rPr>
            </w:pPr>
          </w:p>
        </w:tc>
        <w:tc>
          <w:tcPr>
            <w:tcW w:w="380" w:type="pct"/>
            <w:vMerge/>
            <w:tcBorders>
              <w:left w:val="single" w:sz="4" w:space="0" w:color="000000"/>
              <w:bottom w:val="single" w:sz="4" w:space="0" w:color="000000"/>
              <w:right w:val="single" w:sz="4" w:space="0" w:color="000000"/>
            </w:tcBorders>
            <w:shd w:val="clear" w:color="auto" w:fill="auto"/>
            <w:vAlign w:val="center"/>
          </w:tcPr>
          <w:p w:rsidR="00B377EC" w:rsidRDefault="00B377EC">
            <w:pPr>
              <w:widowControl/>
              <w:spacing w:line="320" w:lineRule="exact"/>
              <w:jc w:val="center"/>
              <w:textAlignment w:val="bottom"/>
              <w:rPr>
                <w:sz w:val="20"/>
                <w:szCs w:val="20"/>
              </w:rPr>
            </w:pPr>
          </w:p>
        </w:tc>
        <w:tc>
          <w:tcPr>
            <w:tcW w:w="523" w:type="pct"/>
            <w:vMerge/>
            <w:tcBorders>
              <w:left w:val="single" w:sz="4" w:space="0" w:color="000000"/>
              <w:bottom w:val="single" w:sz="4" w:space="0" w:color="000000"/>
              <w:right w:val="single" w:sz="4" w:space="0" w:color="000000"/>
            </w:tcBorders>
            <w:shd w:val="clear" w:color="auto" w:fill="auto"/>
            <w:vAlign w:val="center"/>
          </w:tcPr>
          <w:p w:rsidR="00B377EC" w:rsidRDefault="00B377EC">
            <w:pPr>
              <w:widowControl/>
              <w:spacing w:line="300" w:lineRule="exact"/>
              <w:jc w:val="center"/>
              <w:textAlignment w:val="bottom"/>
              <w:rPr>
                <w:sz w:val="20"/>
                <w:szCs w:val="20"/>
              </w:rPr>
            </w:pPr>
          </w:p>
        </w:tc>
        <w:tc>
          <w:tcPr>
            <w:tcW w:w="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280" w:lineRule="exact"/>
              <w:jc w:val="center"/>
              <w:textAlignment w:val="bottom"/>
              <w:rPr>
                <w:color w:val="000000"/>
                <w:sz w:val="20"/>
                <w:szCs w:val="20"/>
              </w:rPr>
            </w:pPr>
            <w:r>
              <w:rPr>
                <w:color w:val="000000"/>
                <w:sz w:val="20"/>
                <w:szCs w:val="20"/>
              </w:rPr>
              <w:t>业务用房维修改造</w:t>
            </w:r>
          </w:p>
        </w:tc>
        <w:tc>
          <w:tcPr>
            <w:tcW w:w="9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280" w:lineRule="exact"/>
              <w:jc w:val="center"/>
              <w:textAlignment w:val="bottom"/>
              <w:rPr>
                <w:color w:val="000000"/>
                <w:sz w:val="20"/>
                <w:szCs w:val="20"/>
              </w:rPr>
            </w:pPr>
            <w:r>
              <w:rPr>
                <w:color w:val="000000"/>
                <w:sz w:val="20"/>
                <w:szCs w:val="20"/>
              </w:rPr>
              <w:t>正常使用卫生安全美观</w:t>
            </w:r>
          </w:p>
        </w:tc>
        <w:tc>
          <w:tcPr>
            <w:tcW w:w="1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280" w:lineRule="exact"/>
              <w:jc w:val="center"/>
              <w:textAlignment w:val="bottom"/>
              <w:rPr>
                <w:color w:val="000000"/>
                <w:sz w:val="20"/>
                <w:szCs w:val="20"/>
              </w:rPr>
            </w:pPr>
            <w:r>
              <w:rPr>
                <w:color w:val="000000"/>
                <w:sz w:val="20"/>
                <w:szCs w:val="20"/>
              </w:rPr>
              <w:t>正常使用卫生安全美观</w:t>
            </w:r>
          </w:p>
        </w:tc>
      </w:tr>
      <w:tr w:rsidR="00B377EC">
        <w:trPr>
          <w:trHeight w:val="70"/>
          <w:jc w:val="center"/>
        </w:trPr>
        <w:tc>
          <w:tcPr>
            <w:tcW w:w="523" w:type="pct"/>
            <w:vMerge/>
            <w:tcBorders>
              <w:left w:val="single" w:sz="4" w:space="0" w:color="000000"/>
              <w:right w:val="single" w:sz="4" w:space="0" w:color="000000"/>
            </w:tcBorders>
            <w:shd w:val="clear" w:color="auto" w:fill="auto"/>
            <w:vAlign w:val="center"/>
          </w:tcPr>
          <w:p w:rsidR="00B377EC" w:rsidRDefault="00B377EC">
            <w:pPr>
              <w:spacing w:line="320" w:lineRule="exact"/>
              <w:jc w:val="center"/>
              <w:rPr>
                <w:color w:val="000000"/>
                <w:sz w:val="20"/>
                <w:szCs w:val="20"/>
              </w:rPr>
            </w:pPr>
          </w:p>
        </w:tc>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B377EC">
            <w:pPr>
              <w:spacing w:line="320" w:lineRule="exact"/>
              <w:jc w:val="center"/>
              <w:rPr>
                <w:color w:val="000000"/>
                <w:sz w:val="20"/>
                <w:szCs w:val="20"/>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00" w:lineRule="exact"/>
              <w:jc w:val="center"/>
              <w:textAlignment w:val="center"/>
              <w:rPr>
                <w:bCs/>
                <w:color w:val="000000"/>
                <w:kern w:val="0"/>
                <w:sz w:val="20"/>
                <w:szCs w:val="20"/>
              </w:rPr>
            </w:pPr>
            <w:r>
              <w:rPr>
                <w:bCs/>
                <w:color w:val="000000"/>
                <w:kern w:val="0"/>
                <w:sz w:val="20"/>
                <w:szCs w:val="20"/>
              </w:rPr>
              <w:t>时效指标</w:t>
            </w:r>
          </w:p>
        </w:tc>
        <w:tc>
          <w:tcPr>
            <w:tcW w:w="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00" w:lineRule="exact"/>
              <w:jc w:val="center"/>
              <w:textAlignment w:val="bottom"/>
              <w:rPr>
                <w:color w:val="000000"/>
                <w:sz w:val="20"/>
                <w:szCs w:val="20"/>
              </w:rPr>
            </w:pPr>
            <w:r>
              <w:rPr>
                <w:color w:val="000000"/>
                <w:sz w:val="20"/>
                <w:szCs w:val="20"/>
              </w:rPr>
              <w:t>完成时间</w:t>
            </w:r>
          </w:p>
        </w:tc>
        <w:tc>
          <w:tcPr>
            <w:tcW w:w="9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00" w:lineRule="exact"/>
              <w:jc w:val="center"/>
              <w:textAlignment w:val="bottom"/>
              <w:rPr>
                <w:color w:val="000000"/>
                <w:sz w:val="20"/>
                <w:szCs w:val="20"/>
              </w:rPr>
            </w:pPr>
            <w:r>
              <w:rPr>
                <w:color w:val="000000"/>
                <w:sz w:val="20"/>
                <w:szCs w:val="20"/>
              </w:rPr>
              <w:t>4</w:t>
            </w:r>
            <w:r>
              <w:rPr>
                <w:color w:val="000000"/>
                <w:sz w:val="20"/>
                <w:szCs w:val="20"/>
              </w:rPr>
              <w:t>月底</w:t>
            </w:r>
          </w:p>
        </w:tc>
        <w:tc>
          <w:tcPr>
            <w:tcW w:w="1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00" w:lineRule="exact"/>
              <w:jc w:val="center"/>
              <w:textAlignment w:val="bottom"/>
              <w:rPr>
                <w:color w:val="000000"/>
                <w:sz w:val="20"/>
                <w:szCs w:val="20"/>
              </w:rPr>
            </w:pPr>
            <w:r>
              <w:rPr>
                <w:color w:val="000000"/>
                <w:sz w:val="20"/>
                <w:szCs w:val="20"/>
              </w:rPr>
              <w:t>10</w:t>
            </w:r>
            <w:r>
              <w:rPr>
                <w:color w:val="000000"/>
                <w:sz w:val="20"/>
                <w:szCs w:val="20"/>
              </w:rPr>
              <w:t>月底</w:t>
            </w:r>
          </w:p>
        </w:tc>
      </w:tr>
      <w:tr w:rsidR="00B377EC">
        <w:trPr>
          <w:trHeight w:val="70"/>
          <w:jc w:val="center"/>
        </w:trPr>
        <w:tc>
          <w:tcPr>
            <w:tcW w:w="523" w:type="pct"/>
            <w:vMerge/>
            <w:tcBorders>
              <w:left w:val="single" w:sz="4" w:space="0" w:color="000000"/>
              <w:right w:val="single" w:sz="4" w:space="0" w:color="000000"/>
            </w:tcBorders>
            <w:shd w:val="clear" w:color="auto" w:fill="auto"/>
            <w:vAlign w:val="center"/>
          </w:tcPr>
          <w:p w:rsidR="00B377EC" w:rsidRDefault="00B377EC">
            <w:pPr>
              <w:spacing w:line="320" w:lineRule="exact"/>
              <w:jc w:val="center"/>
              <w:rPr>
                <w:color w:val="000000"/>
                <w:sz w:val="20"/>
                <w:szCs w:val="20"/>
              </w:rPr>
            </w:pPr>
          </w:p>
        </w:tc>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B377EC">
            <w:pPr>
              <w:spacing w:line="320" w:lineRule="exact"/>
              <w:jc w:val="center"/>
              <w:rPr>
                <w:color w:val="000000"/>
                <w:sz w:val="20"/>
                <w:szCs w:val="20"/>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00" w:lineRule="exact"/>
              <w:jc w:val="center"/>
              <w:textAlignment w:val="center"/>
              <w:rPr>
                <w:bCs/>
                <w:color w:val="000000"/>
                <w:kern w:val="0"/>
                <w:sz w:val="20"/>
                <w:szCs w:val="20"/>
              </w:rPr>
            </w:pPr>
            <w:r>
              <w:rPr>
                <w:bCs/>
                <w:color w:val="000000"/>
                <w:kern w:val="0"/>
                <w:sz w:val="20"/>
                <w:szCs w:val="20"/>
              </w:rPr>
              <w:t>成本指标</w:t>
            </w:r>
          </w:p>
        </w:tc>
        <w:tc>
          <w:tcPr>
            <w:tcW w:w="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00" w:lineRule="exact"/>
              <w:jc w:val="center"/>
              <w:textAlignment w:val="bottom"/>
              <w:rPr>
                <w:color w:val="000000"/>
                <w:sz w:val="20"/>
                <w:szCs w:val="20"/>
              </w:rPr>
            </w:pPr>
            <w:r>
              <w:rPr>
                <w:color w:val="000000"/>
                <w:sz w:val="20"/>
                <w:szCs w:val="20"/>
              </w:rPr>
              <w:t>维修成本</w:t>
            </w:r>
          </w:p>
        </w:tc>
        <w:tc>
          <w:tcPr>
            <w:tcW w:w="9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00" w:lineRule="exact"/>
              <w:jc w:val="center"/>
              <w:textAlignment w:val="bottom"/>
              <w:rPr>
                <w:color w:val="000000"/>
                <w:sz w:val="20"/>
                <w:szCs w:val="20"/>
              </w:rPr>
            </w:pPr>
            <w:r>
              <w:rPr>
                <w:rFonts w:ascii="宋体" w:hAnsi="宋体" w:cs="宋体" w:hint="eastAsia"/>
                <w:color w:val="000000"/>
                <w:sz w:val="20"/>
                <w:szCs w:val="20"/>
              </w:rPr>
              <w:t>≦</w:t>
            </w:r>
            <w:r>
              <w:rPr>
                <w:color w:val="000000"/>
                <w:sz w:val="20"/>
                <w:szCs w:val="20"/>
              </w:rPr>
              <w:t>160</w:t>
            </w:r>
            <w:r>
              <w:rPr>
                <w:color w:val="000000"/>
                <w:sz w:val="20"/>
                <w:szCs w:val="20"/>
              </w:rPr>
              <w:t>万元</w:t>
            </w:r>
          </w:p>
        </w:tc>
        <w:tc>
          <w:tcPr>
            <w:tcW w:w="1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00" w:lineRule="exact"/>
              <w:jc w:val="center"/>
              <w:textAlignment w:val="bottom"/>
              <w:rPr>
                <w:color w:val="000000"/>
                <w:sz w:val="20"/>
                <w:szCs w:val="20"/>
              </w:rPr>
            </w:pPr>
            <w:r>
              <w:rPr>
                <w:color w:val="000000"/>
                <w:sz w:val="20"/>
                <w:szCs w:val="20"/>
              </w:rPr>
              <w:t>149.16</w:t>
            </w:r>
            <w:r>
              <w:rPr>
                <w:color w:val="000000"/>
                <w:sz w:val="20"/>
                <w:szCs w:val="20"/>
              </w:rPr>
              <w:t>万元</w:t>
            </w:r>
          </w:p>
        </w:tc>
      </w:tr>
      <w:tr w:rsidR="00B377EC">
        <w:trPr>
          <w:trHeight w:val="70"/>
          <w:jc w:val="center"/>
        </w:trPr>
        <w:tc>
          <w:tcPr>
            <w:tcW w:w="523" w:type="pct"/>
            <w:vMerge/>
            <w:tcBorders>
              <w:left w:val="single" w:sz="4" w:space="0" w:color="000000"/>
              <w:right w:val="single" w:sz="4" w:space="0" w:color="000000"/>
            </w:tcBorders>
            <w:shd w:val="clear" w:color="auto" w:fill="auto"/>
            <w:vAlign w:val="center"/>
          </w:tcPr>
          <w:p w:rsidR="00B377EC" w:rsidRDefault="00B377EC">
            <w:pPr>
              <w:spacing w:line="320" w:lineRule="exact"/>
              <w:jc w:val="center"/>
              <w:rPr>
                <w:color w:val="000000"/>
                <w:sz w:val="20"/>
                <w:szCs w:val="20"/>
              </w:rPr>
            </w:pPr>
          </w:p>
        </w:tc>
        <w:tc>
          <w:tcPr>
            <w:tcW w:w="3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20" w:lineRule="exact"/>
              <w:jc w:val="center"/>
              <w:textAlignment w:val="bottom"/>
              <w:rPr>
                <w:bCs/>
                <w:color w:val="000000"/>
                <w:kern w:val="0"/>
                <w:sz w:val="20"/>
                <w:szCs w:val="20"/>
              </w:rPr>
            </w:pPr>
            <w:r>
              <w:rPr>
                <w:bCs/>
                <w:color w:val="000000"/>
                <w:kern w:val="0"/>
                <w:sz w:val="20"/>
                <w:szCs w:val="20"/>
              </w:rPr>
              <w:t>效益指标</w:t>
            </w:r>
          </w:p>
        </w:tc>
        <w:tc>
          <w:tcPr>
            <w:tcW w:w="523" w:type="pct"/>
            <w:tcBorders>
              <w:top w:val="single" w:sz="4" w:space="0" w:color="000000"/>
              <w:left w:val="single" w:sz="4" w:space="0" w:color="000000"/>
              <w:right w:val="single" w:sz="4" w:space="0" w:color="000000"/>
            </w:tcBorders>
            <w:shd w:val="clear" w:color="auto" w:fill="auto"/>
            <w:vAlign w:val="center"/>
          </w:tcPr>
          <w:p w:rsidR="00B377EC" w:rsidRDefault="00F95364">
            <w:pPr>
              <w:widowControl/>
              <w:spacing w:line="300" w:lineRule="exact"/>
              <w:jc w:val="center"/>
              <w:textAlignment w:val="center"/>
              <w:rPr>
                <w:bCs/>
                <w:color w:val="000000"/>
                <w:kern w:val="0"/>
                <w:sz w:val="20"/>
                <w:szCs w:val="20"/>
              </w:rPr>
            </w:pPr>
            <w:r>
              <w:rPr>
                <w:bCs/>
                <w:color w:val="000000"/>
                <w:kern w:val="0"/>
                <w:sz w:val="20"/>
                <w:szCs w:val="20"/>
              </w:rPr>
              <w:t>经济效益指标</w:t>
            </w:r>
          </w:p>
        </w:tc>
        <w:tc>
          <w:tcPr>
            <w:tcW w:w="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00" w:lineRule="exact"/>
              <w:jc w:val="center"/>
              <w:textAlignment w:val="bottom"/>
              <w:rPr>
                <w:color w:val="000000"/>
                <w:sz w:val="20"/>
                <w:szCs w:val="20"/>
              </w:rPr>
            </w:pPr>
            <w:r>
              <w:rPr>
                <w:color w:val="000000"/>
                <w:sz w:val="20"/>
                <w:szCs w:val="20"/>
              </w:rPr>
              <w:t>国有资产</w:t>
            </w:r>
          </w:p>
        </w:tc>
        <w:tc>
          <w:tcPr>
            <w:tcW w:w="9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00" w:lineRule="exact"/>
              <w:jc w:val="center"/>
              <w:textAlignment w:val="bottom"/>
              <w:rPr>
                <w:color w:val="000000"/>
                <w:sz w:val="20"/>
                <w:szCs w:val="20"/>
              </w:rPr>
            </w:pPr>
            <w:r>
              <w:rPr>
                <w:color w:val="000000"/>
                <w:sz w:val="20"/>
                <w:szCs w:val="20"/>
              </w:rPr>
              <w:t>保值增值</w:t>
            </w:r>
          </w:p>
        </w:tc>
        <w:tc>
          <w:tcPr>
            <w:tcW w:w="1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00" w:lineRule="exact"/>
              <w:jc w:val="center"/>
              <w:textAlignment w:val="bottom"/>
              <w:rPr>
                <w:color w:val="000000"/>
                <w:sz w:val="20"/>
                <w:szCs w:val="20"/>
              </w:rPr>
            </w:pPr>
            <w:r>
              <w:rPr>
                <w:color w:val="000000"/>
                <w:sz w:val="20"/>
                <w:szCs w:val="20"/>
              </w:rPr>
              <w:t>保值增值</w:t>
            </w:r>
          </w:p>
        </w:tc>
      </w:tr>
      <w:tr w:rsidR="00B377EC">
        <w:trPr>
          <w:trHeight w:val="630"/>
          <w:jc w:val="center"/>
        </w:trPr>
        <w:tc>
          <w:tcPr>
            <w:tcW w:w="523" w:type="pct"/>
            <w:vMerge/>
            <w:tcBorders>
              <w:left w:val="single" w:sz="4" w:space="0" w:color="000000"/>
              <w:right w:val="single" w:sz="4" w:space="0" w:color="000000"/>
            </w:tcBorders>
            <w:shd w:val="clear" w:color="auto" w:fill="auto"/>
            <w:vAlign w:val="center"/>
          </w:tcPr>
          <w:p w:rsidR="00B377EC" w:rsidRDefault="00B377EC">
            <w:pPr>
              <w:spacing w:line="320" w:lineRule="exact"/>
              <w:jc w:val="center"/>
              <w:rPr>
                <w:color w:val="000000"/>
                <w:sz w:val="20"/>
                <w:szCs w:val="20"/>
              </w:rPr>
            </w:pPr>
          </w:p>
        </w:tc>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B377EC">
            <w:pPr>
              <w:widowControl/>
              <w:spacing w:line="320" w:lineRule="exact"/>
              <w:jc w:val="center"/>
              <w:textAlignment w:val="bottom"/>
              <w:rPr>
                <w:bCs/>
                <w:color w:val="000000"/>
                <w:kern w:val="0"/>
                <w:sz w:val="20"/>
                <w:szCs w:val="20"/>
              </w:rPr>
            </w:pPr>
          </w:p>
        </w:tc>
        <w:tc>
          <w:tcPr>
            <w:tcW w:w="523" w:type="pct"/>
            <w:vMerge w:val="restart"/>
            <w:tcBorders>
              <w:top w:val="single" w:sz="4" w:space="0" w:color="000000"/>
              <w:left w:val="single" w:sz="4" w:space="0" w:color="000000"/>
              <w:right w:val="single" w:sz="4" w:space="0" w:color="000000"/>
            </w:tcBorders>
            <w:shd w:val="clear" w:color="auto" w:fill="auto"/>
            <w:vAlign w:val="center"/>
          </w:tcPr>
          <w:p w:rsidR="00B377EC" w:rsidRDefault="00F95364">
            <w:pPr>
              <w:widowControl/>
              <w:spacing w:line="320" w:lineRule="exact"/>
              <w:jc w:val="center"/>
              <w:textAlignment w:val="bottom"/>
              <w:rPr>
                <w:bCs/>
                <w:color w:val="000000"/>
                <w:kern w:val="0"/>
                <w:sz w:val="20"/>
                <w:szCs w:val="20"/>
              </w:rPr>
            </w:pPr>
            <w:r>
              <w:rPr>
                <w:bCs/>
                <w:color w:val="000000"/>
                <w:kern w:val="0"/>
                <w:sz w:val="20"/>
                <w:szCs w:val="20"/>
              </w:rPr>
              <w:t>社会效益指标</w:t>
            </w:r>
          </w:p>
        </w:tc>
        <w:tc>
          <w:tcPr>
            <w:tcW w:w="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20" w:lineRule="exact"/>
              <w:jc w:val="center"/>
              <w:textAlignment w:val="bottom"/>
              <w:rPr>
                <w:color w:val="000000"/>
                <w:sz w:val="20"/>
                <w:szCs w:val="20"/>
              </w:rPr>
            </w:pPr>
            <w:r>
              <w:rPr>
                <w:color w:val="000000"/>
                <w:sz w:val="20"/>
                <w:szCs w:val="20"/>
              </w:rPr>
              <w:t>省政府对外形象</w:t>
            </w:r>
          </w:p>
        </w:tc>
        <w:tc>
          <w:tcPr>
            <w:tcW w:w="9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20" w:lineRule="exact"/>
              <w:jc w:val="center"/>
              <w:textAlignment w:val="bottom"/>
              <w:rPr>
                <w:color w:val="000000"/>
                <w:sz w:val="20"/>
                <w:szCs w:val="20"/>
              </w:rPr>
            </w:pPr>
            <w:r>
              <w:rPr>
                <w:color w:val="000000"/>
                <w:sz w:val="20"/>
                <w:szCs w:val="20"/>
              </w:rPr>
              <w:t>维护提升形象</w:t>
            </w:r>
          </w:p>
        </w:tc>
        <w:tc>
          <w:tcPr>
            <w:tcW w:w="1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20" w:lineRule="exact"/>
              <w:jc w:val="center"/>
              <w:textAlignment w:val="bottom"/>
              <w:rPr>
                <w:color w:val="000000"/>
                <w:sz w:val="20"/>
                <w:szCs w:val="20"/>
              </w:rPr>
            </w:pPr>
            <w:r>
              <w:rPr>
                <w:color w:val="000000"/>
                <w:sz w:val="20"/>
                <w:szCs w:val="20"/>
              </w:rPr>
              <w:t>维护提升形象</w:t>
            </w:r>
          </w:p>
        </w:tc>
      </w:tr>
      <w:tr w:rsidR="00B377EC">
        <w:trPr>
          <w:trHeight w:val="412"/>
          <w:jc w:val="center"/>
        </w:trPr>
        <w:tc>
          <w:tcPr>
            <w:tcW w:w="523" w:type="pct"/>
            <w:vMerge/>
            <w:tcBorders>
              <w:left w:val="single" w:sz="4" w:space="0" w:color="000000"/>
              <w:right w:val="single" w:sz="4" w:space="0" w:color="000000"/>
            </w:tcBorders>
            <w:shd w:val="clear" w:color="auto" w:fill="auto"/>
            <w:vAlign w:val="center"/>
          </w:tcPr>
          <w:p w:rsidR="00B377EC" w:rsidRDefault="00B377EC">
            <w:pPr>
              <w:spacing w:line="320" w:lineRule="exact"/>
              <w:jc w:val="center"/>
              <w:rPr>
                <w:color w:val="000000"/>
                <w:sz w:val="20"/>
                <w:szCs w:val="20"/>
              </w:rPr>
            </w:pPr>
          </w:p>
        </w:tc>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B377EC">
            <w:pPr>
              <w:spacing w:line="320" w:lineRule="exact"/>
              <w:jc w:val="center"/>
              <w:rPr>
                <w:color w:val="000000"/>
                <w:sz w:val="20"/>
                <w:szCs w:val="20"/>
              </w:rPr>
            </w:pPr>
          </w:p>
        </w:tc>
        <w:tc>
          <w:tcPr>
            <w:tcW w:w="523" w:type="pct"/>
            <w:vMerge/>
            <w:tcBorders>
              <w:left w:val="single" w:sz="4" w:space="0" w:color="000000"/>
              <w:right w:val="single" w:sz="4" w:space="0" w:color="000000"/>
            </w:tcBorders>
            <w:shd w:val="clear" w:color="auto" w:fill="auto"/>
            <w:vAlign w:val="center"/>
          </w:tcPr>
          <w:p w:rsidR="00B377EC" w:rsidRDefault="00B377EC">
            <w:pPr>
              <w:widowControl/>
              <w:spacing w:line="320" w:lineRule="exact"/>
              <w:jc w:val="center"/>
              <w:textAlignment w:val="bottom"/>
              <w:rPr>
                <w:color w:val="000000"/>
                <w:kern w:val="0"/>
                <w:sz w:val="20"/>
                <w:szCs w:val="20"/>
              </w:rPr>
            </w:pPr>
          </w:p>
        </w:tc>
        <w:tc>
          <w:tcPr>
            <w:tcW w:w="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20" w:lineRule="exact"/>
              <w:jc w:val="center"/>
              <w:textAlignment w:val="bottom"/>
              <w:rPr>
                <w:color w:val="000000"/>
                <w:sz w:val="20"/>
                <w:szCs w:val="20"/>
              </w:rPr>
            </w:pPr>
            <w:r>
              <w:rPr>
                <w:color w:val="000000"/>
                <w:sz w:val="20"/>
                <w:szCs w:val="20"/>
              </w:rPr>
              <w:t>消除安全隐患</w:t>
            </w:r>
          </w:p>
        </w:tc>
        <w:tc>
          <w:tcPr>
            <w:tcW w:w="9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20" w:lineRule="exact"/>
              <w:jc w:val="center"/>
              <w:textAlignment w:val="bottom"/>
              <w:rPr>
                <w:color w:val="000000"/>
                <w:sz w:val="20"/>
                <w:szCs w:val="20"/>
              </w:rPr>
            </w:pPr>
            <w:r>
              <w:rPr>
                <w:color w:val="000000"/>
                <w:sz w:val="20"/>
                <w:szCs w:val="20"/>
              </w:rPr>
              <w:t>确保安全</w:t>
            </w:r>
          </w:p>
        </w:tc>
        <w:tc>
          <w:tcPr>
            <w:tcW w:w="1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20" w:lineRule="exact"/>
              <w:jc w:val="center"/>
              <w:textAlignment w:val="bottom"/>
              <w:rPr>
                <w:color w:val="000000"/>
                <w:sz w:val="20"/>
                <w:szCs w:val="20"/>
              </w:rPr>
            </w:pPr>
            <w:r>
              <w:rPr>
                <w:color w:val="000000"/>
                <w:sz w:val="20"/>
                <w:szCs w:val="20"/>
              </w:rPr>
              <w:t>确保安全</w:t>
            </w:r>
          </w:p>
        </w:tc>
      </w:tr>
      <w:tr w:rsidR="00B377EC">
        <w:trPr>
          <w:trHeight w:val="70"/>
          <w:jc w:val="center"/>
        </w:trPr>
        <w:tc>
          <w:tcPr>
            <w:tcW w:w="523" w:type="pct"/>
            <w:vMerge/>
            <w:tcBorders>
              <w:left w:val="single" w:sz="4" w:space="0" w:color="000000"/>
              <w:right w:val="single" w:sz="4" w:space="0" w:color="000000"/>
            </w:tcBorders>
            <w:shd w:val="clear" w:color="auto" w:fill="auto"/>
            <w:vAlign w:val="center"/>
          </w:tcPr>
          <w:p w:rsidR="00B377EC" w:rsidRDefault="00B377EC">
            <w:pPr>
              <w:spacing w:line="320" w:lineRule="exact"/>
              <w:jc w:val="center"/>
              <w:rPr>
                <w:color w:val="000000"/>
                <w:sz w:val="20"/>
                <w:szCs w:val="20"/>
              </w:rPr>
            </w:pPr>
          </w:p>
        </w:tc>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B377EC">
            <w:pPr>
              <w:spacing w:line="320" w:lineRule="exact"/>
              <w:jc w:val="center"/>
              <w:rPr>
                <w:color w:val="000000"/>
                <w:sz w:val="20"/>
                <w:szCs w:val="20"/>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280" w:lineRule="exact"/>
              <w:jc w:val="center"/>
              <w:textAlignment w:val="bottom"/>
              <w:rPr>
                <w:bCs/>
                <w:color w:val="000000"/>
                <w:kern w:val="0"/>
                <w:sz w:val="20"/>
                <w:szCs w:val="20"/>
              </w:rPr>
            </w:pPr>
            <w:r>
              <w:rPr>
                <w:bCs/>
                <w:color w:val="000000"/>
                <w:kern w:val="0"/>
                <w:sz w:val="20"/>
                <w:szCs w:val="20"/>
              </w:rPr>
              <w:t>生态效益指标</w:t>
            </w:r>
          </w:p>
        </w:tc>
        <w:tc>
          <w:tcPr>
            <w:tcW w:w="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280" w:lineRule="exact"/>
              <w:jc w:val="center"/>
              <w:textAlignment w:val="bottom"/>
              <w:rPr>
                <w:color w:val="000000"/>
                <w:sz w:val="20"/>
                <w:szCs w:val="20"/>
              </w:rPr>
            </w:pPr>
            <w:r>
              <w:rPr>
                <w:color w:val="000000"/>
                <w:sz w:val="20"/>
                <w:szCs w:val="20"/>
              </w:rPr>
              <w:t>提高工作、生活条件和环境条件</w:t>
            </w:r>
          </w:p>
        </w:tc>
        <w:tc>
          <w:tcPr>
            <w:tcW w:w="9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280" w:lineRule="exact"/>
              <w:jc w:val="center"/>
              <w:textAlignment w:val="bottom"/>
              <w:rPr>
                <w:color w:val="000000"/>
                <w:sz w:val="20"/>
                <w:szCs w:val="20"/>
              </w:rPr>
            </w:pPr>
            <w:r>
              <w:rPr>
                <w:color w:val="000000"/>
                <w:sz w:val="20"/>
                <w:szCs w:val="20"/>
              </w:rPr>
              <w:t>良性循环</w:t>
            </w:r>
          </w:p>
        </w:tc>
        <w:tc>
          <w:tcPr>
            <w:tcW w:w="1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280" w:lineRule="exact"/>
              <w:jc w:val="center"/>
              <w:textAlignment w:val="bottom"/>
              <w:rPr>
                <w:color w:val="000000"/>
                <w:sz w:val="20"/>
                <w:szCs w:val="20"/>
              </w:rPr>
            </w:pPr>
            <w:r>
              <w:rPr>
                <w:color w:val="000000"/>
                <w:sz w:val="20"/>
                <w:szCs w:val="20"/>
              </w:rPr>
              <w:t>良性循环</w:t>
            </w:r>
          </w:p>
        </w:tc>
      </w:tr>
      <w:tr w:rsidR="00B377EC">
        <w:trPr>
          <w:trHeight w:val="70"/>
          <w:jc w:val="center"/>
        </w:trPr>
        <w:tc>
          <w:tcPr>
            <w:tcW w:w="523" w:type="pct"/>
            <w:vMerge/>
            <w:tcBorders>
              <w:left w:val="single" w:sz="4" w:space="0" w:color="000000"/>
              <w:bottom w:val="single" w:sz="4" w:space="0" w:color="000000"/>
              <w:right w:val="single" w:sz="4" w:space="0" w:color="000000"/>
            </w:tcBorders>
            <w:shd w:val="clear" w:color="auto" w:fill="auto"/>
            <w:vAlign w:val="center"/>
          </w:tcPr>
          <w:p w:rsidR="00B377EC" w:rsidRDefault="00B377EC">
            <w:pPr>
              <w:spacing w:line="320" w:lineRule="exact"/>
              <w:jc w:val="center"/>
              <w:rPr>
                <w:color w:val="000000"/>
                <w:sz w:val="20"/>
                <w:szCs w:val="20"/>
              </w:rPr>
            </w:pP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320" w:lineRule="exact"/>
              <w:jc w:val="center"/>
              <w:textAlignment w:val="bottom"/>
              <w:rPr>
                <w:color w:val="000000"/>
                <w:sz w:val="20"/>
                <w:szCs w:val="20"/>
              </w:rPr>
            </w:pPr>
            <w:r>
              <w:rPr>
                <w:bCs/>
                <w:color w:val="000000"/>
                <w:kern w:val="0"/>
                <w:sz w:val="20"/>
                <w:szCs w:val="20"/>
              </w:rPr>
              <w:t>满意度指标</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280" w:lineRule="exact"/>
              <w:jc w:val="center"/>
              <w:textAlignment w:val="bottom"/>
              <w:rPr>
                <w:bCs/>
                <w:color w:val="000000"/>
                <w:kern w:val="0"/>
                <w:sz w:val="20"/>
                <w:szCs w:val="20"/>
              </w:rPr>
            </w:pPr>
            <w:r>
              <w:rPr>
                <w:bCs/>
                <w:color w:val="000000"/>
                <w:kern w:val="0"/>
                <w:sz w:val="20"/>
                <w:szCs w:val="20"/>
              </w:rPr>
              <w:t>满意度指标</w:t>
            </w:r>
          </w:p>
        </w:tc>
        <w:tc>
          <w:tcPr>
            <w:tcW w:w="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280" w:lineRule="exact"/>
              <w:jc w:val="center"/>
              <w:textAlignment w:val="bottom"/>
              <w:rPr>
                <w:color w:val="000000"/>
                <w:sz w:val="20"/>
                <w:szCs w:val="20"/>
              </w:rPr>
            </w:pPr>
            <w:r>
              <w:rPr>
                <w:color w:val="000000"/>
                <w:sz w:val="20"/>
                <w:szCs w:val="20"/>
              </w:rPr>
              <w:t>群众和职工满意度</w:t>
            </w:r>
          </w:p>
        </w:tc>
        <w:tc>
          <w:tcPr>
            <w:tcW w:w="9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280" w:lineRule="exact"/>
              <w:jc w:val="center"/>
              <w:textAlignment w:val="bottom"/>
              <w:rPr>
                <w:color w:val="000000"/>
                <w:sz w:val="20"/>
                <w:szCs w:val="20"/>
              </w:rPr>
            </w:pPr>
            <w:r>
              <w:rPr>
                <w:color w:val="000000"/>
                <w:sz w:val="20"/>
                <w:szCs w:val="20"/>
              </w:rPr>
              <w:t>≥90%</w:t>
            </w:r>
          </w:p>
        </w:tc>
        <w:tc>
          <w:tcPr>
            <w:tcW w:w="1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377EC" w:rsidRDefault="00F95364">
            <w:pPr>
              <w:widowControl/>
              <w:spacing w:line="280" w:lineRule="exact"/>
              <w:jc w:val="center"/>
              <w:textAlignment w:val="bottom"/>
              <w:rPr>
                <w:color w:val="000000"/>
                <w:sz w:val="20"/>
                <w:szCs w:val="20"/>
              </w:rPr>
            </w:pPr>
            <w:r>
              <w:rPr>
                <w:color w:val="000000"/>
                <w:sz w:val="20"/>
                <w:szCs w:val="20"/>
              </w:rPr>
              <w:t>≥95%</w:t>
            </w:r>
          </w:p>
        </w:tc>
      </w:tr>
    </w:tbl>
    <w:p w:rsidR="00B377EC" w:rsidRDefault="00B377EC">
      <w:pPr>
        <w:widowControl/>
        <w:adjustRightInd w:val="0"/>
        <w:snapToGrid w:val="0"/>
        <w:spacing w:line="580" w:lineRule="exact"/>
        <w:contextualSpacing/>
        <w:jc w:val="left"/>
        <w:rPr>
          <w:color w:val="000000"/>
          <w:kern w:val="0"/>
          <w:sz w:val="20"/>
          <w:szCs w:val="20"/>
          <w:shd w:val="clear" w:color="auto" w:fill="FFFFFF"/>
        </w:rPr>
      </w:pPr>
    </w:p>
    <w:p w:rsidR="00B377EC" w:rsidRDefault="00F95364">
      <w:pPr>
        <w:spacing w:line="600" w:lineRule="exact"/>
        <w:jc w:val="center"/>
        <w:outlineLvl w:val="0"/>
        <w:rPr>
          <w:rStyle w:val="1Char"/>
          <w:rFonts w:ascii="黑体" w:eastAsia="黑体" w:hAnsi="黑体"/>
          <w:b w:val="0"/>
        </w:rPr>
      </w:pPr>
      <w:bookmarkStart w:id="79" w:name="_Toc113284445"/>
      <w:r>
        <w:rPr>
          <w:rFonts w:ascii="黑体" w:eastAsia="黑体" w:hAnsi="黑体" w:hint="eastAsia"/>
          <w:sz w:val="44"/>
          <w:szCs w:val="44"/>
        </w:rPr>
        <w:lastRenderedPageBreak/>
        <w:t>第</w:t>
      </w:r>
      <w:r>
        <w:rPr>
          <w:rStyle w:val="1Char"/>
          <w:rFonts w:ascii="黑体" w:eastAsia="黑体" w:hAnsi="黑体" w:hint="eastAsia"/>
          <w:b w:val="0"/>
        </w:rPr>
        <w:t>五部分 附表</w:t>
      </w:r>
      <w:bookmarkStart w:id="80" w:name="_Toc15396619"/>
      <w:bookmarkEnd w:id="75"/>
      <w:bookmarkEnd w:id="78"/>
      <w:bookmarkEnd w:id="79"/>
    </w:p>
    <w:p w:rsidR="00B377EC" w:rsidRDefault="00B377EC" w:rsidP="00D74874">
      <w:pPr>
        <w:pStyle w:val="a0"/>
        <w:spacing w:before="93"/>
      </w:pPr>
    </w:p>
    <w:p w:rsidR="00B377EC" w:rsidRDefault="00F95364">
      <w:pPr>
        <w:pStyle w:val="2"/>
        <w:spacing w:before="0" w:after="0" w:line="600" w:lineRule="exact"/>
        <w:ind w:firstLineChars="200" w:firstLine="640"/>
        <w:rPr>
          <w:rStyle w:val="2Char"/>
          <w:rFonts w:ascii="仿宋_GB2312" w:eastAsia="仿宋_GB2312" w:hAnsi="仿宋_GB2312" w:cs="仿宋_GB2312"/>
          <w:color w:val="000000" w:themeColor="text1"/>
        </w:rPr>
      </w:pPr>
      <w:bookmarkStart w:id="81" w:name="_Toc113284446"/>
      <w:r>
        <w:rPr>
          <w:rStyle w:val="2Char"/>
          <w:rFonts w:ascii="仿宋_GB2312" w:eastAsia="仿宋_GB2312" w:hAnsi="仿宋_GB2312" w:cs="仿宋_GB2312" w:hint="eastAsia"/>
          <w:color w:val="000000" w:themeColor="text1"/>
        </w:rPr>
        <w:t>一、收入支出决算总表</w:t>
      </w:r>
      <w:bookmarkEnd w:id="80"/>
      <w:bookmarkEnd w:id="81"/>
    </w:p>
    <w:p w:rsidR="00B377EC" w:rsidRDefault="00F95364">
      <w:pPr>
        <w:pStyle w:val="2"/>
        <w:spacing w:before="0" w:after="0" w:line="600" w:lineRule="exact"/>
        <w:ind w:firstLineChars="200" w:firstLine="640"/>
        <w:rPr>
          <w:rStyle w:val="2Char"/>
          <w:rFonts w:ascii="仿宋_GB2312" w:eastAsia="仿宋_GB2312" w:hAnsi="仿宋_GB2312" w:cs="仿宋_GB2312"/>
          <w:color w:val="000000" w:themeColor="text1"/>
        </w:rPr>
      </w:pPr>
      <w:bookmarkStart w:id="82" w:name="_Toc15396620"/>
      <w:bookmarkStart w:id="83" w:name="_Toc113284447"/>
      <w:r>
        <w:rPr>
          <w:rStyle w:val="2Char"/>
          <w:rFonts w:ascii="仿宋_GB2312" w:eastAsia="仿宋_GB2312" w:hAnsi="仿宋_GB2312" w:cs="仿宋_GB2312" w:hint="eastAsia"/>
          <w:color w:val="000000" w:themeColor="text1"/>
        </w:rPr>
        <w:t>二、收入决算表</w:t>
      </w:r>
      <w:bookmarkEnd w:id="82"/>
      <w:bookmarkEnd w:id="83"/>
    </w:p>
    <w:p w:rsidR="00B377EC" w:rsidRDefault="00F95364">
      <w:pPr>
        <w:pStyle w:val="2"/>
        <w:spacing w:before="0" w:after="0" w:line="600" w:lineRule="exact"/>
        <w:ind w:firstLineChars="200" w:firstLine="640"/>
        <w:rPr>
          <w:rFonts w:ascii="仿宋_GB2312" w:eastAsia="仿宋_GB2312" w:hAnsi="仿宋_GB2312" w:cs="仿宋_GB2312"/>
          <w:color w:val="000000" w:themeColor="text1"/>
        </w:rPr>
      </w:pPr>
      <w:bookmarkStart w:id="84" w:name="_Toc15396621"/>
      <w:bookmarkStart w:id="85" w:name="_Toc113284448"/>
      <w:r>
        <w:rPr>
          <w:rStyle w:val="2Char"/>
          <w:rFonts w:ascii="仿宋_GB2312" w:eastAsia="仿宋_GB2312" w:hAnsi="仿宋_GB2312" w:cs="仿宋_GB2312" w:hint="eastAsia"/>
        </w:rPr>
        <w:t>三、</w:t>
      </w:r>
      <w:r>
        <w:rPr>
          <w:rFonts w:ascii="仿宋_GB2312" w:eastAsia="仿宋_GB2312" w:hAnsi="仿宋_GB2312" w:cs="仿宋_GB2312" w:hint="eastAsia"/>
          <w:b w:val="0"/>
        </w:rPr>
        <w:t>支</w:t>
      </w:r>
      <w:r>
        <w:rPr>
          <w:rStyle w:val="2Char"/>
          <w:rFonts w:ascii="仿宋_GB2312" w:eastAsia="仿宋_GB2312" w:hAnsi="仿宋_GB2312" w:cs="仿宋_GB2312" w:hint="eastAsia"/>
        </w:rPr>
        <w:t>出</w:t>
      </w:r>
      <w:r>
        <w:rPr>
          <w:rStyle w:val="2Char"/>
          <w:rFonts w:ascii="仿宋_GB2312" w:eastAsia="仿宋_GB2312" w:hAnsi="仿宋_GB2312" w:cs="仿宋_GB2312" w:hint="eastAsia"/>
          <w:color w:val="000000" w:themeColor="text1"/>
        </w:rPr>
        <w:t>决算表</w:t>
      </w:r>
      <w:bookmarkEnd w:id="84"/>
      <w:bookmarkEnd w:id="85"/>
    </w:p>
    <w:p w:rsidR="00B377EC" w:rsidRDefault="00F95364">
      <w:pPr>
        <w:pStyle w:val="2"/>
        <w:spacing w:before="0" w:after="0" w:line="600" w:lineRule="exact"/>
        <w:ind w:firstLineChars="200" w:firstLine="640"/>
        <w:rPr>
          <w:rFonts w:ascii="仿宋_GB2312" w:eastAsia="仿宋_GB2312" w:hAnsi="仿宋_GB2312" w:cs="仿宋_GB2312"/>
          <w:b w:val="0"/>
        </w:rPr>
      </w:pPr>
      <w:bookmarkStart w:id="86" w:name="_Toc15396622"/>
      <w:bookmarkStart w:id="87" w:name="_Toc113284449"/>
      <w:r>
        <w:rPr>
          <w:rStyle w:val="2Char"/>
          <w:rFonts w:ascii="仿宋_GB2312" w:eastAsia="仿宋_GB2312" w:hAnsi="仿宋_GB2312" w:cs="仿宋_GB2312" w:hint="eastAsia"/>
        </w:rPr>
        <w:t>四、</w:t>
      </w:r>
      <w:r>
        <w:rPr>
          <w:rFonts w:ascii="仿宋_GB2312" w:eastAsia="仿宋_GB2312" w:hAnsi="仿宋_GB2312" w:cs="仿宋_GB2312" w:hint="eastAsia"/>
          <w:b w:val="0"/>
        </w:rPr>
        <w:t>财</w:t>
      </w:r>
      <w:r>
        <w:rPr>
          <w:rStyle w:val="2Char"/>
          <w:rFonts w:ascii="仿宋_GB2312" w:eastAsia="仿宋_GB2312" w:hAnsi="仿宋_GB2312" w:cs="仿宋_GB2312" w:hint="eastAsia"/>
        </w:rPr>
        <w:t>政拨款收入支出决算总表</w:t>
      </w:r>
      <w:bookmarkEnd w:id="86"/>
      <w:bookmarkEnd w:id="87"/>
    </w:p>
    <w:p w:rsidR="00B377EC" w:rsidRDefault="00F95364">
      <w:pPr>
        <w:pStyle w:val="2"/>
        <w:spacing w:before="0" w:after="0" w:line="600" w:lineRule="exact"/>
        <w:ind w:firstLineChars="200" w:firstLine="640"/>
        <w:rPr>
          <w:rStyle w:val="2Char"/>
          <w:rFonts w:ascii="仿宋_GB2312" w:eastAsia="仿宋_GB2312" w:hAnsi="仿宋_GB2312" w:cs="仿宋_GB2312"/>
        </w:rPr>
      </w:pPr>
      <w:bookmarkStart w:id="88" w:name="_Toc15396623"/>
      <w:bookmarkStart w:id="89" w:name="_Toc113284450"/>
      <w:r>
        <w:rPr>
          <w:rStyle w:val="2Char"/>
          <w:rFonts w:ascii="仿宋_GB2312" w:eastAsia="仿宋_GB2312" w:hAnsi="仿宋_GB2312" w:cs="仿宋_GB2312" w:hint="eastAsia"/>
        </w:rPr>
        <w:t>五、</w:t>
      </w:r>
      <w:r>
        <w:rPr>
          <w:rFonts w:ascii="仿宋_GB2312" w:eastAsia="仿宋_GB2312" w:hAnsi="仿宋_GB2312" w:cs="仿宋_GB2312" w:hint="eastAsia"/>
          <w:b w:val="0"/>
        </w:rPr>
        <w:t>财</w:t>
      </w:r>
      <w:r>
        <w:rPr>
          <w:rStyle w:val="2Char"/>
          <w:rFonts w:ascii="仿宋_GB2312" w:eastAsia="仿宋_GB2312" w:hAnsi="仿宋_GB2312" w:cs="仿宋_GB2312" w:hint="eastAsia"/>
        </w:rPr>
        <w:t>政拨款支出决算明细表</w:t>
      </w:r>
      <w:bookmarkStart w:id="90" w:name="_Toc15396624"/>
      <w:bookmarkEnd w:id="88"/>
      <w:bookmarkEnd w:id="89"/>
    </w:p>
    <w:p w:rsidR="00B377EC" w:rsidRDefault="00F95364">
      <w:pPr>
        <w:pStyle w:val="2"/>
        <w:spacing w:before="0" w:after="0" w:line="600" w:lineRule="exact"/>
        <w:ind w:firstLineChars="200" w:firstLine="640"/>
        <w:rPr>
          <w:rFonts w:ascii="仿宋_GB2312" w:eastAsia="仿宋_GB2312" w:hAnsi="仿宋_GB2312" w:cs="仿宋_GB2312"/>
        </w:rPr>
      </w:pPr>
      <w:bookmarkStart w:id="91" w:name="_Toc113284451"/>
      <w:r>
        <w:rPr>
          <w:rStyle w:val="2Char"/>
          <w:rFonts w:ascii="仿宋_GB2312" w:eastAsia="仿宋_GB2312" w:hAnsi="仿宋_GB2312" w:cs="仿宋_GB2312" w:hint="eastAsia"/>
        </w:rPr>
        <w:t>六、</w:t>
      </w:r>
      <w:r>
        <w:rPr>
          <w:rFonts w:ascii="仿宋_GB2312" w:eastAsia="仿宋_GB2312" w:hAnsi="仿宋_GB2312" w:cs="仿宋_GB2312" w:hint="eastAsia"/>
          <w:b w:val="0"/>
        </w:rPr>
        <w:t>一</w:t>
      </w:r>
      <w:r>
        <w:rPr>
          <w:rStyle w:val="2Char"/>
          <w:rFonts w:ascii="仿宋_GB2312" w:eastAsia="仿宋_GB2312" w:hAnsi="仿宋_GB2312" w:cs="仿宋_GB2312" w:hint="eastAsia"/>
        </w:rPr>
        <w:t>般公共预算财政拨款支出决算表</w:t>
      </w:r>
      <w:bookmarkEnd w:id="90"/>
      <w:bookmarkEnd w:id="91"/>
    </w:p>
    <w:p w:rsidR="00B377EC" w:rsidRDefault="00F95364">
      <w:pPr>
        <w:pStyle w:val="2"/>
        <w:spacing w:before="0" w:after="0" w:line="600" w:lineRule="exact"/>
        <w:ind w:firstLineChars="200" w:firstLine="640"/>
        <w:rPr>
          <w:rFonts w:ascii="仿宋_GB2312" w:eastAsia="仿宋_GB2312" w:hAnsi="仿宋_GB2312" w:cs="仿宋_GB2312"/>
        </w:rPr>
      </w:pPr>
      <w:bookmarkStart w:id="92" w:name="_Toc15396625"/>
      <w:bookmarkStart w:id="93" w:name="_Toc113284452"/>
      <w:r>
        <w:rPr>
          <w:rStyle w:val="2Char"/>
          <w:rFonts w:ascii="仿宋_GB2312" w:eastAsia="仿宋_GB2312" w:hAnsi="仿宋_GB2312" w:cs="仿宋_GB2312" w:hint="eastAsia"/>
        </w:rPr>
        <w:t>七、</w:t>
      </w:r>
      <w:r>
        <w:rPr>
          <w:rFonts w:ascii="仿宋_GB2312" w:eastAsia="仿宋_GB2312" w:hAnsi="仿宋_GB2312" w:cs="仿宋_GB2312" w:hint="eastAsia"/>
          <w:b w:val="0"/>
        </w:rPr>
        <w:t>一</w:t>
      </w:r>
      <w:r>
        <w:rPr>
          <w:rStyle w:val="2Char"/>
          <w:rFonts w:ascii="仿宋_GB2312" w:eastAsia="仿宋_GB2312" w:hAnsi="仿宋_GB2312" w:cs="仿宋_GB2312" w:hint="eastAsia"/>
        </w:rPr>
        <w:t>般公共预算财政</w:t>
      </w:r>
      <w:r>
        <w:rPr>
          <w:rStyle w:val="2Char"/>
          <w:rFonts w:ascii="仿宋_GB2312" w:eastAsia="仿宋_GB2312" w:hAnsi="仿宋_GB2312" w:cs="仿宋_GB2312" w:hint="eastAsia"/>
          <w:color w:val="000000" w:themeColor="text1"/>
        </w:rPr>
        <w:t>拨款支出决算明</w:t>
      </w:r>
      <w:r>
        <w:rPr>
          <w:rStyle w:val="2Char"/>
          <w:rFonts w:ascii="仿宋_GB2312" w:eastAsia="仿宋_GB2312" w:hAnsi="仿宋_GB2312" w:cs="仿宋_GB2312" w:hint="eastAsia"/>
        </w:rPr>
        <w:t>细表</w:t>
      </w:r>
      <w:bookmarkEnd w:id="92"/>
      <w:bookmarkEnd w:id="93"/>
    </w:p>
    <w:p w:rsidR="00B377EC" w:rsidRDefault="00F95364">
      <w:pPr>
        <w:pStyle w:val="2"/>
        <w:spacing w:before="0" w:after="0" w:line="600" w:lineRule="exact"/>
        <w:ind w:firstLineChars="200" w:firstLine="640"/>
        <w:rPr>
          <w:rFonts w:ascii="仿宋_GB2312" w:eastAsia="仿宋_GB2312" w:hAnsi="仿宋_GB2312" w:cs="仿宋_GB2312"/>
        </w:rPr>
      </w:pPr>
      <w:bookmarkStart w:id="94" w:name="_Toc15396626"/>
      <w:bookmarkStart w:id="95" w:name="_Toc113284453"/>
      <w:r>
        <w:rPr>
          <w:rStyle w:val="2Char"/>
          <w:rFonts w:ascii="仿宋_GB2312" w:eastAsia="仿宋_GB2312" w:hAnsi="仿宋_GB2312" w:cs="仿宋_GB2312" w:hint="eastAsia"/>
        </w:rPr>
        <w:t>八、</w:t>
      </w:r>
      <w:r>
        <w:rPr>
          <w:rFonts w:ascii="仿宋_GB2312" w:eastAsia="仿宋_GB2312" w:hAnsi="仿宋_GB2312" w:cs="仿宋_GB2312" w:hint="eastAsia"/>
          <w:b w:val="0"/>
        </w:rPr>
        <w:t>一</w:t>
      </w:r>
      <w:r>
        <w:rPr>
          <w:rStyle w:val="2Char"/>
          <w:rFonts w:ascii="仿宋_GB2312" w:eastAsia="仿宋_GB2312" w:hAnsi="仿宋_GB2312" w:cs="仿宋_GB2312" w:hint="eastAsia"/>
        </w:rPr>
        <w:t>般公共预算财政拨款基本支出决算表</w:t>
      </w:r>
      <w:bookmarkEnd w:id="94"/>
      <w:bookmarkEnd w:id="95"/>
    </w:p>
    <w:p w:rsidR="00B377EC" w:rsidRDefault="00F95364">
      <w:pPr>
        <w:pStyle w:val="2"/>
        <w:spacing w:before="0" w:after="0" w:line="600" w:lineRule="exact"/>
        <w:ind w:firstLineChars="200" w:firstLine="640"/>
        <w:rPr>
          <w:rFonts w:ascii="仿宋_GB2312" w:eastAsia="仿宋_GB2312" w:hAnsi="仿宋_GB2312" w:cs="仿宋_GB2312"/>
        </w:rPr>
      </w:pPr>
      <w:bookmarkStart w:id="96" w:name="_Toc15396627"/>
      <w:bookmarkStart w:id="97" w:name="_Toc113284454"/>
      <w:r>
        <w:rPr>
          <w:rStyle w:val="2Char"/>
          <w:rFonts w:ascii="仿宋_GB2312" w:eastAsia="仿宋_GB2312" w:hAnsi="仿宋_GB2312" w:cs="仿宋_GB2312" w:hint="eastAsia"/>
        </w:rPr>
        <w:t>九、</w:t>
      </w:r>
      <w:r>
        <w:rPr>
          <w:rFonts w:ascii="仿宋_GB2312" w:eastAsia="仿宋_GB2312" w:hAnsi="仿宋_GB2312" w:cs="仿宋_GB2312" w:hint="eastAsia"/>
          <w:b w:val="0"/>
        </w:rPr>
        <w:t>一</w:t>
      </w:r>
      <w:r>
        <w:rPr>
          <w:rStyle w:val="2Char"/>
          <w:rFonts w:ascii="仿宋_GB2312" w:eastAsia="仿宋_GB2312" w:hAnsi="仿宋_GB2312" w:cs="仿宋_GB2312" w:hint="eastAsia"/>
        </w:rPr>
        <w:t>般公共预算财政拨款项目支出决算表</w:t>
      </w:r>
      <w:bookmarkEnd w:id="96"/>
      <w:bookmarkEnd w:id="97"/>
    </w:p>
    <w:p w:rsidR="00B377EC" w:rsidRDefault="00F95364">
      <w:pPr>
        <w:pStyle w:val="2"/>
        <w:spacing w:before="0" w:after="0" w:line="600" w:lineRule="exact"/>
        <w:ind w:firstLineChars="200" w:firstLine="640"/>
        <w:rPr>
          <w:rFonts w:ascii="仿宋_GB2312" w:eastAsia="仿宋_GB2312" w:hAnsi="仿宋_GB2312" w:cs="仿宋_GB2312"/>
          <w:color w:val="000000" w:themeColor="text1"/>
        </w:rPr>
      </w:pPr>
      <w:bookmarkStart w:id="98" w:name="_Toc15396628"/>
      <w:bookmarkStart w:id="99" w:name="_Toc113284455"/>
      <w:r>
        <w:rPr>
          <w:rStyle w:val="2Char"/>
          <w:rFonts w:ascii="仿宋_GB2312" w:eastAsia="仿宋_GB2312" w:hAnsi="仿宋_GB2312" w:cs="仿宋_GB2312" w:hint="eastAsia"/>
          <w:color w:val="000000" w:themeColor="text1"/>
        </w:rPr>
        <w:t>十、</w:t>
      </w:r>
      <w:r>
        <w:rPr>
          <w:rFonts w:ascii="仿宋_GB2312" w:eastAsia="仿宋_GB2312" w:hAnsi="仿宋_GB2312" w:cs="仿宋_GB2312" w:hint="eastAsia"/>
          <w:b w:val="0"/>
          <w:color w:val="000000" w:themeColor="text1"/>
        </w:rPr>
        <w:t>一</w:t>
      </w:r>
      <w:r>
        <w:rPr>
          <w:rStyle w:val="2Char"/>
          <w:rFonts w:ascii="仿宋_GB2312" w:eastAsia="仿宋_GB2312" w:hAnsi="仿宋_GB2312" w:cs="仿宋_GB2312" w:hint="eastAsia"/>
          <w:color w:val="000000" w:themeColor="text1"/>
        </w:rPr>
        <w:t>般公共预算财政拨款“三公”经费支出决算表</w:t>
      </w:r>
      <w:bookmarkEnd w:id="98"/>
      <w:bookmarkEnd w:id="99"/>
    </w:p>
    <w:p w:rsidR="00B377EC" w:rsidRDefault="00F95364">
      <w:pPr>
        <w:pStyle w:val="2"/>
        <w:spacing w:before="0" w:after="0" w:line="600" w:lineRule="exact"/>
        <w:ind w:firstLineChars="200" w:firstLine="640"/>
        <w:rPr>
          <w:rFonts w:ascii="仿宋_GB2312" w:eastAsia="仿宋_GB2312" w:hAnsi="仿宋_GB2312" w:cs="仿宋_GB2312"/>
        </w:rPr>
      </w:pPr>
      <w:bookmarkStart w:id="100" w:name="_Toc15396629"/>
      <w:bookmarkStart w:id="101" w:name="_Toc113284456"/>
      <w:r>
        <w:rPr>
          <w:rStyle w:val="2Char"/>
          <w:rFonts w:ascii="仿宋_GB2312" w:eastAsia="仿宋_GB2312" w:hAnsi="仿宋_GB2312" w:cs="仿宋_GB2312" w:hint="eastAsia"/>
        </w:rPr>
        <w:t>十一、</w:t>
      </w:r>
      <w:r>
        <w:rPr>
          <w:rFonts w:ascii="仿宋_GB2312" w:eastAsia="仿宋_GB2312" w:hAnsi="仿宋_GB2312" w:cs="仿宋_GB2312" w:hint="eastAsia"/>
          <w:b w:val="0"/>
        </w:rPr>
        <w:t>政</w:t>
      </w:r>
      <w:r>
        <w:rPr>
          <w:rStyle w:val="2Char"/>
          <w:rFonts w:ascii="仿宋_GB2312" w:eastAsia="仿宋_GB2312" w:hAnsi="仿宋_GB2312" w:cs="仿宋_GB2312" w:hint="eastAsia"/>
        </w:rPr>
        <w:t>府性基金预算财政拨款收入支出决算表</w:t>
      </w:r>
      <w:bookmarkEnd w:id="100"/>
      <w:bookmarkEnd w:id="101"/>
    </w:p>
    <w:p w:rsidR="00B377EC" w:rsidRDefault="00F95364">
      <w:pPr>
        <w:pStyle w:val="2"/>
        <w:spacing w:before="0" w:after="0" w:line="600" w:lineRule="exact"/>
        <w:ind w:firstLineChars="200" w:firstLine="640"/>
        <w:rPr>
          <w:rFonts w:ascii="仿宋_GB2312" w:eastAsia="仿宋_GB2312" w:hAnsi="仿宋_GB2312" w:cs="仿宋_GB2312"/>
          <w:w w:val="95"/>
        </w:rPr>
      </w:pPr>
      <w:bookmarkStart w:id="102" w:name="_Toc15396630"/>
      <w:bookmarkStart w:id="103" w:name="_Toc113284457"/>
      <w:r>
        <w:rPr>
          <w:rStyle w:val="2Char"/>
          <w:rFonts w:ascii="仿宋_GB2312" w:eastAsia="仿宋_GB2312" w:hAnsi="仿宋_GB2312" w:cs="仿宋_GB2312" w:hint="eastAsia"/>
        </w:rPr>
        <w:t>十二、</w:t>
      </w:r>
      <w:r>
        <w:rPr>
          <w:rFonts w:ascii="仿宋_GB2312" w:eastAsia="仿宋_GB2312" w:hAnsi="仿宋_GB2312" w:cs="仿宋_GB2312" w:hint="eastAsia"/>
          <w:b w:val="0"/>
          <w:w w:val="95"/>
        </w:rPr>
        <w:t>政</w:t>
      </w:r>
      <w:r>
        <w:rPr>
          <w:rStyle w:val="2Char"/>
          <w:rFonts w:ascii="仿宋_GB2312" w:eastAsia="仿宋_GB2312" w:hAnsi="仿宋_GB2312" w:cs="仿宋_GB2312" w:hint="eastAsia"/>
          <w:w w:val="95"/>
        </w:rPr>
        <w:t>府性基金预算财政拨款“三公”经费支出决算表</w:t>
      </w:r>
      <w:bookmarkEnd w:id="102"/>
      <w:bookmarkEnd w:id="103"/>
    </w:p>
    <w:p w:rsidR="00B377EC" w:rsidRDefault="00F95364">
      <w:pPr>
        <w:pStyle w:val="2"/>
        <w:spacing w:before="0" w:after="0" w:line="600" w:lineRule="exact"/>
        <w:ind w:firstLineChars="200" w:firstLine="640"/>
        <w:rPr>
          <w:rStyle w:val="2Char"/>
          <w:rFonts w:ascii="仿宋_GB2312" w:eastAsia="仿宋_GB2312" w:hAnsi="仿宋_GB2312" w:cs="仿宋_GB2312"/>
        </w:rPr>
      </w:pPr>
      <w:bookmarkStart w:id="104" w:name="_Toc15396631"/>
      <w:bookmarkStart w:id="105" w:name="_Toc113284458"/>
      <w:r>
        <w:rPr>
          <w:rStyle w:val="2Char"/>
          <w:rFonts w:ascii="仿宋_GB2312" w:eastAsia="仿宋_GB2312" w:hAnsi="仿宋_GB2312" w:cs="仿宋_GB2312" w:hint="eastAsia"/>
        </w:rPr>
        <w:t>十三、</w:t>
      </w:r>
      <w:r>
        <w:rPr>
          <w:rFonts w:ascii="仿宋_GB2312" w:eastAsia="仿宋_GB2312" w:hAnsi="仿宋_GB2312" w:cs="仿宋_GB2312" w:hint="eastAsia"/>
          <w:b w:val="0"/>
        </w:rPr>
        <w:t>国</w:t>
      </w:r>
      <w:r>
        <w:rPr>
          <w:rStyle w:val="2Char"/>
          <w:rFonts w:ascii="仿宋_GB2312" w:eastAsia="仿宋_GB2312" w:hAnsi="仿宋_GB2312" w:cs="仿宋_GB2312" w:hint="eastAsia"/>
        </w:rPr>
        <w:t>有资本经营预算财政拨款收入支出决算表</w:t>
      </w:r>
      <w:bookmarkEnd w:id="104"/>
      <w:bookmarkEnd w:id="105"/>
    </w:p>
    <w:p w:rsidR="00B377EC" w:rsidRDefault="00F95364">
      <w:pPr>
        <w:spacing w:line="600" w:lineRule="exact"/>
        <w:ind w:firstLineChars="200" w:firstLine="640"/>
        <w:rPr>
          <w:rFonts w:ascii="仿宋_GB2312" w:eastAsia="仿宋_GB2312" w:hAnsi="仿宋_GB2312" w:cs="仿宋_GB2312"/>
        </w:rPr>
      </w:pPr>
      <w:bookmarkStart w:id="106" w:name="_Toc113284459"/>
      <w:r>
        <w:rPr>
          <w:rStyle w:val="2Char"/>
          <w:rFonts w:ascii="仿宋_GB2312" w:eastAsia="仿宋_GB2312" w:hAnsi="仿宋_GB2312" w:cs="仿宋_GB2312" w:hint="eastAsia"/>
          <w:b w:val="0"/>
          <w:bCs w:val="0"/>
        </w:rPr>
        <w:t>十四、国有资本经营预算财政拨款支出决算表</w:t>
      </w:r>
      <w:bookmarkEnd w:id="106"/>
    </w:p>
    <w:sectPr w:rsidR="00B377EC" w:rsidSect="00A44BD3">
      <w:headerReference w:type="default" r:id="rId16"/>
      <w:footerReference w:type="default" r:id="rId17"/>
      <w:footerReference w:type="first" r:id="rId18"/>
      <w:pgSz w:w="11906" w:h="16838"/>
      <w:pgMar w:top="1440" w:right="1800" w:bottom="1135"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674" w:rsidRDefault="00E91674" w:rsidP="00B377EC">
      <w:r>
        <w:separator/>
      </w:r>
    </w:p>
  </w:endnote>
  <w:endnote w:type="continuationSeparator" w:id="1">
    <w:p w:rsidR="00E91674" w:rsidRDefault="00E91674" w:rsidP="00B377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B377EC" w:rsidRDefault="00B53562">
        <w:pPr>
          <w:pStyle w:val="a5"/>
          <w:jc w:val="center"/>
        </w:pPr>
        <w:r w:rsidRPr="00B53562">
          <w:fldChar w:fldCharType="begin"/>
        </w:r>
        <w:r w:rsidR="00F95364">
          <w:instrText>PAGE   \* MERGEFORMAT</w:instrText>
        </w:r>
        <w:r w:rsidRPr="00B53562">
          <w:fldChar w:fldCharType="separate"/>
        </w:r>
        <w:r w:rsidR="009F2448" w:rsidRPr="009F2448">
          <w:rPr>
            <w:noProof/>
            <w:lang w:val="zh-CN"/>
          </w:rPr>
          <w:t>10</w:t>
        </w:r>
        <w:r>
          <w:rPr>
            <w:lang w:val="zh-CN"/>
          </w:rPr>
          <w:fldChar w:fldCharType="end"/>
        </w:r>
      </w:p>
    </w:sdtContent>
  </w:sdt>
  <w:p w:rsidR="00B377EC" w:rsidRDefault="00B377E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0550656"/>
      <w:docPartObj>
        <w:docPartGallery w:val="Page Numbers (Bottom of Page)"/>
        <w:docPartUnique/>
      </w:docPartObj>
    </w:sdtPr>
    <w:sdtEndPr>
      <w:rPr>
        <w:noProof/>
      </w:rPr>
    </w:sdtEndPr>
    <w:sdtContent>
      <w:p w:rsidR="00311B3C" w:rsidRDefault="00B53562">
        <w:pPr>
          <w:pStyle w:val="a5"/>
          <w:jc w:val="center"/>
        </w:pPr>
        <w:r>
          <w:fldChar w:fldCharType="begin"/>
        </w:r>
        <w:r w:rsidR="00311B3C">
          <w:instrText xml:space="preserve"> PAGE   \* MERGEFORMAT </w:instrText>
        </w:r>
        <w:r>
          <w:fldChar w:fldCharType="separate"/>
        </w:r>
        <w:r w:rsidR="009F2448">
          <w:rPr>
            <w:noProof/>
          </w:rPr>
          <w:t>1</w:t>
        </w:r>
        <w:r>
          <w:rPr>
            <w:noProof/>
          </w:rPr>
          <w:fldChar w:fldCharType="end"/>
        </w:r>
      </w:p>
    </w:sdtContent>
  </w:sdt>
  <w:p w:rsidR="00B377EC" w:rsidRDefault="00B377E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674" w:rsidRDefault="00E91674" w:rsidP="00B377EC">
      <w:r>
        <w:separator/>
      </w:r>
    </w:p>
  </w:footnote>
  <w:footnote w:type="continuationSeparator" w:id="1">
    <w:p w:rsidR="00E91674" w:rsidRDefault="00E91674" w:rsidP="00B377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7EC" w:rsidRDefault="00B377EC">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9E3A10E2"/>
    <w:rsid w:val="F2E1F9D4"/>
    <w:rsid w:val="F7880819"/>
    <w:rsid w:val="FEBDDFBB"/>
    <w:rsid w:val="FEFF0F8A"/>
    <w:rsid w:val="FFB7F060"/>
    <w:rsid w:val="FFB92C5B"/>
    <w:rsid w:val="FFBF47B8"/>
    <w:rsid w:val="FFEE5D9E"/>
    <w:rsid w:val="0000305D"/>
    <w:rsid w:val="0000777E"/>
    <w:rsid w:val="000139D9"/>
    <w:rsid w:val="000222C6"/>
    <w:rsid w:val="0002549F"/>
    <w:rsid w:val="00027949"/>
    <w:rsid w:val="000301A1"/>
    <w:rsid w:val="000421A3"/>
    <w:rsid w:val="000468DB"/>
    <w:rsid w:val="0006487A"/>
    <w:rsid w:val="00065F8F"/>
    <w:rsid w:val="00070A43"/>
    <w:rsid w:val="000768F2"/>
    <w:rsid w:val="0009184B"/>
    <w:rsid w:val="00094236"/>
    <w:rsid w:val="0009593C"/>
    <w:rsid w:val="000969E0"/>
    <w:rsid w:val="00097322"/>
    <w:rsid w:val="000A6A92"/>
    <w:rsid w:val="000B047F"/>
    <w:rsid w:val="000B5923"/>
    <w:rsid w:val="000B5A48"/>
    <w:rsid w:val="000B6FF3"/>
    <w:rsid w:val="000C3467"/>
    <w:rsid w:val="000C3CA6"/>
    <w:rsid w:val="000C563E"/>
    <w:rsid w:val="000C6019"/>
    <w:rsid w:val="000C6840"/>
    <w:rsid w:val="000D1267"/>
    <w:rsid w:val="000D1D50"/>
    <w:rsid w:val="000D5782"/>
    <w:rsid w:val="000E6613"/>
    <w:rsid w:val="000E7119"/>
    <w:rsid w:val="00114E9B"/>
    <w:rsid w:val="00120ECC"/>
    <w:rsid w:val="0014004A"/>
    <w:rsid w:val="00142216"/>
    <w:rsid w:val="00144D6A"/>
    <w:rsid w:val="0014729F"/>
    <w:rsid w:val="00157BAB"/>
    <w:rsid w:val="001629CC"/>
    <w:rsid w:val="001654D1"/>
    <w:rsid w:val="00165A75"/>
    <w:rsid w:val="00174518"/>
    <w:rsid w:val="0018106D"/>
    <w:rsid w:val="001877A7"/>
    <w:rsid w:val="00191536"/>
    <w:rsid w:val="00196687"/>
    <w:rsid w:val="001A20E6"/>
    <w:rsid w:val="001C0962"/>
    <w:rsid w:val="001D7531"/>
    <w:rsid w:val="001E737D"/>
    <w:rsid w:val="001F0592"/>
    <w:rsid w:val="001F7506"/>
    <w:rsid w:val="002006CD"/>
    <w:rsid w:val="00202B36"/>
    <w:rsid w:val="00204B7A"/>
    <w:rsid w:val="00204CDE"/>
    <w:rsid w:val="0021101A"/>
    <w:rsid w:val="00220536"/>
    <w:rsid w:val="00235629"/>
    <w:rsid w:val="00237A6C"/>
    <w:rsid w:val="0024663E"/>
    <w:rsid w:val="00260C38"/>
    <w:rsid w:val="002616C0"/>
    <w:rsid w:val="00265372"/>
    <w:rsid w:val="002662AA"/>
    <w:rsid w:val="00272DAA"/>
    <w:rsid w:val="00280496"/>
    <w:rsid w:val="0028116E"/>
    <w:rsid w:val="00294DC9"/>
    <w:rsid w:val="00295495"/>
    <w:rsid w:val="002A31DE"/>
    <w:rsid w:val="002B109A"/>
    <w:rsid w:val="002B2613"/>
    <w:rsid w:val="002C22AB"/>
    <w:rsid w:val="002C2C38"/>
    <w:rsid w:val="002C5B59"/>
    <w:rsid w:val="002D6D05"/>
    <w:rsid w:val="002F1818"/>
    <w:rsid w:val="002F567B"/>
    <w:rsid w:val="00306A98"/>
    <w:rsid w:val="00311B3C"/>
    <w:rsid w:val="003216A9"/>
    <w:rsid w:val="00331889"/>
    <w:rsid w:val="00335A74"/>
    <w:rsid w:val="00355921"/>
    <w:rsid w:val="00363C74"/>
    <w:rsid w:val="0036561B"/>
    <w:rsid w:val="0037013F"/>
    <w:rsid w:val="00380C92"/>
    <w:rsid w:val="003A484F"/>
    <w:rsid w:val="003A4883"/>
    <w:rsid w:val="003A52F7"/>
    <w:rsid w:val="003B0BE0"/>
    <w:rsid w:val="003B0C1B"/>
    <w:rsid w:val="003B688C"/>
    <w:rsid w:val="003C0291"/>
    <w:rsid w:val="003C39AE"/>
    <w:rsid w:val="003C46FD"/>
    <w:rsid w:val="003C7B60"/>
    <w:rsid w:val="003D0C0F"/>
    <w:rsid w:val="003D1FB2"/>
    <w:rsid w:val="003D307C"/>
    <w:rsid w:val="003D66DA"/>
    <w:rsid w:val="003E1310"/>
    <w:rsid w:val="003E6F55"/>
    <w:rsid w:val="00406254"/>
    <w:rsid w:val="004223DE"/>
    <w:rsid w:val="00422BB9"/>
    <w:rsid w:val="00426C5F"/>
    <w:rsid w:val="00430EA3"/>
    <w:rsid w:val="00434489"/>
    <w:rsid w:val="00437085"/>
    <w:rsid w:val="00441A6B"/>
    <w:rsid w:val="00443880"/>
    <w:rsid w:val="0044540C"/>
    <w:rsid w:val="004464F4"/>
    <w:rsid w:val="00471401"/>
    <w:rsid w:val="00473F31"/>
    <w:rsid w:val="0048263A"/>
    <w:rsid w:val="00487E5D"/>
    <w:rsid w:val="004A0993"/>
    <w:rsid w:val="004A631B"/>
    <w:rsid w:val="004A711F"/>
    <w:rsid w:val="004B199D"/>
    <w:rsid w:val="004B4690"/>
    <w:rsid w:val="004E0A2D"/>
    <w:rsid w:val="004E206B"/>
    <w:rsid w:val="004E6DF7"/>
    <w:rsid w:val="004F0FBD"/>
    <w:rsid w:val="00505A47"/>
    <w:rsid w:val="00512FDA"/>
    <w:rsid w:val="00520DA0"/>
    <w:rsid w:val="00524E09"/>
    <w:rsid w:val="00531751"/>
    <w:rsid w:val="0056187C"/>
    <w:rsid w:val="005664BB"/>
    <w:rsid w:val="00566FFA"/>
    <w:rsid w:val="0057481D"/>
    <w:rsid w:val="00575038"/>
    <w:rsid w:val="005779FF"/>
    <w:rsid w:val="0058486E"/>
    <w:rsid w:val="00585B33"/>
    <w:rsid w:val="0059014D"/>
    <w:rsid w:val="005B27D2"/>
    <w:rsid w:val="005B4C6F"/>
    <w:rsid w:val="005B5C64"/>
    <w:rsid w:val="005C5337"/>
    <w:rsid w:val="005C6BD0"/>
    <w:rsid w:val="005D1C8B"/>
    <w:rsid w:val="005D360B"/>
    <w:rsid w:val="005D468D"/>
    <w:rsid w:val="005D46AD"/>
    <w:rsid w:val="005D5CED"/>
    <w:rsid w:val="005E113D"/>
    <w:rsid w:val="005E6B91"/>
    <w:rsid w:val="005F1A4C"/>
    <w:rsid w:val="006055B4"/>
    <w:rsid w:val="00605688"/>
    <w:rsid w:val="00605B4D"/>
    <w:rsid w:val="006070AF"/>
    <w:rsid w:val="00607E6C"/>
    <w:rsid w:val="006101B1"/>
    <w:rsid w:val="00614E44"/>
    <w:rsid w:val="0062270A"/>
    <w:rsid w:val="00622830"/>
    <w:rsid w:val="00622A20"/>
    <w:rsid w:val="00623DA0"/>
    <w:rsid w:val="00630AEF"/>
    <w:rsid w:val="006325F8"/>
    <w:rsid w:val="00633463"/>
    <w:rsid w:val="00634C9A"/>
    <w:rsid w:val="006440E4"/>
    <w:rsid w:val="0066343B"/>
    <w:rsid w:val="00664501"/>
    <w:rsid w:val="00664777"/>
    <w:rsid w:val="006748A4"/>
    <w:rsid w:val="00675B96"/>
    <w:rsid w:val="00681A31"/>
    <w:rsid w:val="00683E73"/>
    <w:rsid w:val="006A3141"/>
    <w:rsid w:val="006A5E34"/>
    <w:rsid w:val="006B2422"/>
    <w:rsid w:val="006B2B9A"/>
    <w:rsid w:val="006C08A1"/>
    <w:rsid w:val="006C1937"/>
    <w:rsid w:val="006C23B4"/>
    <w:rsid w:val="006F020C"/>
    <w:rsid w:val="007127B7"/>
    <w:rsid w:val="0071798E"/>
    <w:rsid w:val="00734B2D"/>
    <w:rsid w:val="007416B6"/>
    <w:rsid w:val="0074370E"/>
    <w:rsid w:val="00746F48"/>
    <w:rsid w:val="00752BF6"/>
    <w:rsid w:val="0075404D"/>
    <w:rsid w:val="0076182A"/>
    <w:rsid w:val="00767B7E"/>
    <w:rsid w:val="007770C3"/>
    <w:rsid w:val="00784D24"/>
    <w:rsid w:val="00785FBA"/>
    <w:rsid w:val="00786E4A"/>
    <w:rsid w:val="007875EB"/>
    <w:rsid w:val="007906B3"/>
    <w:rsid w:val="0079426B"/>
    <w:rsid w:val="007A29E6"/>
    <w:rsid w:val="007A7730"/>
    <w:rsid w:val="007A7F03"/>
    <w:rsid w:val="007C67D3"/>
    <w:rsid w:val="007D1682"/>
    <w:rsid w:val="007D312A"/>
    <w:rsid w:val="007D3F19"/>
    <w:rsid w:val="007E23B0"/>
    <w:rsid w:val="007E23E5"/>
    <w:rsid w:val="007E6B85"/>
    <w:rsid w:val="007F1991"/>
    <w:rsid w:val="007F2C2F"/>
    <w:rsid w:val="007F55FC"/>
    <w:rsid w:val="007F5665"/>
    <w:rsid w:val="00800112"/>
    <w:rsid w:val="00802E0F"/>
    <w:rsid w:val="00805C92"/>
    <w:rsid w:val="008125E2"/>
    <w:rsid w:val="00813348"/>
    <w:rsid w:val="00824D9C"/>
    <w:rsid w:val="008253BB"/>
    <w:rsid w:val="0083538E"/>
    <w:rsid w:val="0083706E"/>
    <w:rsid w:val="008408F6"/>
    <w:rsid w:val="008423A5"/>
    <w:rsid w:val="00850625"/>
    <w:rsid w:val="008522DD"/>
    <w:rsid w:val="00853718"/>
    <w:rsid w:val="00855221"/>
    <w:rsid w:val="00860645"/>
    <w:rsid w:val="0086740B"/>
    <w:rsid w:val="00871F71"/>
    <w:rsid w:val="00872FD8"/>
    <w:rsid w:val="0087477E"/>
    <w:rsid w:val="00885AF4"/>
    <w:rsid w:val="008939CD"/>
    <w:rsid w:val="008B768C"/>
    <w:rsid w:val="008C4DB1"/>
    <w:rsid w:val="008C4EAF"/>
    <w:rsid w:val="008C5176"/>
    <w:rsid w:val="008C5DE1"/>
    <w:rsid w:val="008C7ACB"/>
    <w:rsid w:val="008C7FD0"/>
    <w:rsid w:val="008E1DE7"/>
    <w:rsid w:val="008E707C"/>
    <w:rsid w:val="00900B08"/>
    <w:rsid w:val="00901B1E"/>
    <w:rsid w:val="00902155"/>
    <w:rsid w:val="00902FA3"/>
    <w:rsid w:val="00906072"/>
    <w:rsid w:val="00923564"/>
    <w:rsid w:val="0092392E"/>
    <w:rsid w:val="009315F9"/>
    <w:rsid w:val="00933499"/>
    <w:rsid w:val="00935C98"/>
    <w:rsid w:val="00944FEA"/>
    <w:rsid w:val="00945E43"/>
    <w:rsid w:val="00946945"/>
    <w:rsid w:val="00951248"/>
    <w:rsid w:val="0095152F"/>
    <w:rsid w:val="00954C49"/>
    <w:rsid w:val="00955E37"/>
    <w:rsid w:val="009621FB"/>
    <w:rsid w:val="0097099F"/>
    <w:rsid w:val="00971997"/>
    <w:rsid w:val="00971FFC"/>
    <w:rsid w:val="00977FFC"/>
    <w:rsid w:val="009828A6"/>
    <w:rsid w:val="009835CD"/>
    <w:rsid w:val="0098660A"/>
    <w:rsid w:val="009931C3"/>
    <w:rsid w:val="009B2C43"/>
    <w:rsid w:val="009B4EAE"/>
    <w:rsid w:val="009B538C"/>
    <w:rsid w:val="009B7573"/>
    <w:rsid w:val="009C22F4"/>
    <w:rsid w:val="009C2A4B"/>
    <w:rsid w:val="009C2E98"/>
    <w:rsid w:val="009D3447"/>
    <w:rsid w:val="009D4711"/>
    <w:rsid w:val="009E283A"/>
    <w:rsid w:val="009E4BD0"/>
    <w:rsid w:val="009F1185"/>
    <w:rsid w:val="009F18CD"/>
    <w:rsid w:val="009F2448"/>
    <w:rsid w:val="009F2A13"/>
    <w:rsid w:val="009F7527"/>
    <w:rsid w:val="00A04EB0"/>
    <w:rsid w:val="00A13118"/>
    <w:rsid w:val="00A13CC1"/>
    <w:rsid w:val="00A16847"/>
    <w:rsid w:val="00A237D8"/>
    <w:rsid w:val="00A268C4"/>
    <w:rsid w:val="00A307CD"/>
    <w:rsid w:val="00A331C8"/>
    <w:rsid w:val="00A363D8"/>
    <w:rsid w:val="00A40A00"/>
    <w:rsid w:val="00A4142F"/>
    <w:rsid w:val="00A422EB"/>
    <w:rsid w:val="00A44BD3"/>
    <w:rsid w:val="00A45BB7"/>
    <w:rsid w:val="00A465CE"/>
    <w:rsid w:val="00A55732"/>
    <w:rsid w:val="00A568C8"/>
    <w:rsid w:val="00A56DF2"/>
    <w:rsid w:val="00A56E6E"/>
    <w:rsid w:val="00A67AB5"/>
    <w:rsid w:val="00A733B2"/>
    <w:rsid w:val="00A741C2"/>
    <w:rsid w:val="00A74D1E"/>
    <w:rsid w:val="00A81302"/>
    <w:rsid w:val="00A91462"/>
    <w:rsid w:val="00A91760"/>
    <w:rsid w:val="00A93B00"/>
    <w:rsid w:val="00A93C21"/>
    <w:rsid w:val="00A966BB"/>
    <w:rsid w:val="00AB5266"/>
    <w:rsid w:val="00AB59B2"/>
    <w:rsid w:val="00AB5B23"/>
    <w:rsid w:val="00AB64C9"/>
    <w:rsid w:val="00AC105C"/>
    <w:rsid w:val="00AC3C6A"/>
    <w:rsid w:val="00AD5620"/>
    <w:rsid w:val="00AD656B"/>
    <w:rsid w:val="00AD7C1B"/>
    <w:rsid w:val="00AE16BA"/>
    <w:rsid w:val="00AE1EBE"/>
    <w:rsid w:val="00AF40AE"/>
    <w:rsid w:val="00B03C9D"/>
    <w:rsid w:val="00B060AE"/>
    <w:rsid w:val="00B10517"/>
    <w:rsid w:val="00B14E76"/>
    <w:rsid w:val="00B161B8"/>
    <w:rsid w:val="00B2048C"/>
    <w:rsid w:val="00B30397"/>
    <w:rsid w:val="00B310B9"/>
    <w:rsid w:val="00B35F3F"/>
    <w:rsid w:val="00B36CBB"/>
    <w:rsid w:val="00B377EC"/>
    <w:rsid w:val="00B425E0"/>
    <w:rsid w:val="00B440AA"/>
    <w:rsid w:val="00B44B70"/>
    <w:rsid w:val="00B53562"/>
    <w:rsid w:val="00B53C56"/>
    <w:rsid w:val="00B57DAF"/>
    <w:rsid w:val="00B7245F"/>
    <w:rsid w:val="00B77EA6"/>
    <w:rsid w:val="00B81598"/>
    <w:rsid w:val="00B841F1"/>
    <w:rsid w:val="00B944D6"/>
    <w:rsid w:val="00B96BDB"/>
    <w:rsid w:val="00BA4E8D"/>
    <w:rsid w:val="00BB4DF0"/>
    <w:rsid w:val="00BB6BB4"/>
    <w:rsid w:val="00BC289F"/>
    <w:rsid w:val="00BC2D50"/>
    <w:rsid w:val="00BC5361"/>
    <w:rsid w:val="00BC5460"/>
    <w:rsid w:val="00BC6B50"/>
    <w:rsid w:val="00BD0E25"/>
    <w:rsid w:val="00BF0D84"/>
    <w:rsid w:val="00BF5BD6"/>
    <w:rsid w:val="00C03E31"/>
    <w:rsid w:val="00C15F56"/>
    <w:rsid w:val="00C3298A"/>
    <w:rsid w:val="00C33E72"/>
    <w:rsid w:val="00C354B2"/>
    <w:rsid w:val="00C35554"/>
    <w:rsid w:val="00C42709"/>
    <w:rsid w:val="00C44EF0"/>
    <w:rsid w:val="00C52840"/>
    <w:rsid w:val="00C533CC"/>
    <w:rsid w:val="00C5751C"/>
    <w:rsid w:val="00C61BFC"/>
    <w:rsid w:val="00C62B85"/>
    <w:rsid w:val="00C65438"/>
    <w:rsid w:val="00C73532"/>
    <w:rsid w:val="00C87FD8"/>
    <w:rsid w:val="00C91381"/>
    <w:rsid w:val="00C91CBB"/>
    <w:rsid w:val="00CB4E70"/>
    <w:rsid w:val="00CC09B6"/>
    <w:rsid w:val="00CC666F"/>
    <w:rsid w:val="00CD1E3F"/>
    <w:rsid w:val="00CD24E8"/>
    <w:rsid w:val="00CE44F6"/>
    <w:rsid w:val="00CE49DA"/>
    <w:rsid w:val="00CE7B61"/>
    <w:rsid w:val="00CF795F"/>
    <w:rsid w:val="00D00095"/>
    <w:rsid w:val="00D114F0"/>
    <w:rsid w:val="00D20620"/>
    <w:rsid w:val="00D254F7"/>
    <w:rsid w:val="00D26091"/>
    <w:rsid w:val="00D2685C"/>
    <w:rsid w:val="00D34E7C"/>
    <w:rsid w:val="00D35489"/>
    <w:rsid w:val="00D36AFE"/>
    <w:rsid w:val="00D42FEF"/>
    <w:rsid w:val="00D51276"/>
    <w:rsid w:val="00D7035F"/>
    <w:rsid w:val="00D74874"/>
    <w:rsid w:val="00D85975"/>
    <w:rsid w:val="00D93C0E"/>
    <w:rsid w:val="00DA1F53"/>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91674"/>
    <w:rsid w:val="00EA010F"/>
    <w:rsid w:val="00ED1B63"/>
    <w:rsid w:val="00ED3C1F"/>
    <w:rsid w:val="00ED4085"/>
    <w:rsid w:val="00ED420E"/>
    <w:rsid w:val="00ED6FBE"/>
    <w:rsid w:val="00EE2F57"/>
    <w:rsid w:val="00EF4C34"/>
    <w:rsid w:val="00EF77C6"/>
    <w:rsid w:val="00F05438"/>
    <w:rsid w:val="00F07A04"/>
    <w:rsid w:val="00F1361C"/>
    <w:rsid w:val="00F156F0"/>
    <w:rsid w:val="00F160C7"/>
    <w:rsid w:val="00F2408F"/>
    <w:rsid w:val="00F240E9"/>
    <w:rsid w:val="00F36D8F"/>
    <w:rsid w:val="00F417B1"/>
    <w:rsid w:val="00F45853"/>
    <w:rsid w:val="00F602DF"/>
    <w:rsid w:val="00F66B33"/>
    <w:rsid w:val="00F71625"/>
    <w:rsid w:val="00F754A1"/>
    <w:rsid w:val="00F81FD9"/>
    <w:rsid w:val="00F82ECD"/>
    <w:rsid w:val="00F841AA"/>
    <w:rsid w:val="00F84A94"/>
    <w:rsid w:val="00F87E96"/>
    <w:rsid w:val="00F95364"/>
    <w:rsid w:val="00F96271"/>
    <w:rsid w:val="00FA23E8"/>
    <w:rsid w:val="00FA29A6"/>
    <w:rsid w:val="00FA7B12"/>
    <w:rsid w:val="00FD3CC1"/>
    <w:rsid w:val="00FD7977"/>
    <w:rsid w:val="00FF1E02"/>
    <w:rsid w:val="00FF30B4"/>
    <w:rsid w:val="0A2032A3"/>
    <w:rsid w:val="0B8A37D8"/>
    <w:rsid w:val="10C055FF"/>
    <w:rsid w:val="118107EC"/>
    <w:rsid w:val="11DD6519"/>
    <w:rsid w:val="16BB723D"/>
    <w:rsid w:val="18015F3F"/>
    <w:rsid w:val="1BE8440E"/>
    <w:rsid w:val="1D155CEE"/>
    <w:rsid w:val="20F57F95"/>
    <w:rsid w:val="240371BF"/>
    <w:rsid w:val="25C741E6"/>
    <w:rsid w:val="27842671"/>
    <w:rsid w:val="29FD04D3"/>
    <w:rsid w:val="2ABE7A3E"/>
    <w:rsid w:val="2E7FBE1D"/>
    <w:rsid w:val="2EFA178C"/>
    <w:rsid w:val="30B46D73"/>
    <w:rsid w:val="319F7F4E"/>
    <w:rsid w:val="39AE70AB"/>
    <w:rsid w:val="3C0C0783"/>
    <w:rsid w:val="3F9F3A96"/>
    <w:rsid w:val="44E37094"/>
    <w:rsid w:val="493C27E9"/>
    <w:rsid w:val="496F39ED"/>
    <w:rsid w:val="49FF41D3"/>
    <w:rsid w:val="4BE068DB"/>
    <w:rsid w:val="4BF6002B"/>
    <w:rsid w:val="4ECE2238"/>
    <w:rsid w:val="51DB4B86"/>
    <w:rsid w:val="55333C3E"/>
    <w:rsid w:val="5F779DA3"/>
    <w:rsid w:val="64CA39A1"/>
    <w:rsid w:val="677E515E"/>
    <w:rsid w:val="6C4A05C8"/>
    <w:rsid w:val="72734D90"/>
    <w:rsid w:val="79E7B28D"/>
    <w:rsid w:val="7CFBDEAA"/>
    <w:rsid w:val="7DFB4118"/>
    <w:rsid w:val="7F9F20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377EC"/>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B377E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377E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377E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B377EC"/>
    <w:pPr>
      <w:spacing w:beforeLines="30"/>
    </w:pPr>
    <w:rPr>
      <w:rFonts w:ascii="仿宋_GB2312" w:eastAsia="仿宋_GB2312"/>
      <w:kern w:val="0"/>
      <w:sz w:val="30"/>
    </w:rPr>
  </w:style>
  <w:style w:type="paragraph" w:styleId="30">
    <w:name w:val="toc 3"/>
    <w:basedOn w:val="a"/>
    <w:next w:val="a"/>
    <w:uiPriority w:val="39"/>
    <w:unhideWhenUsed/>
    <w:qFormat/>
    <w:rsid w:val="00B377EC"/>
    <w:pPr>
      <w:tabs>
        <w:tab w:val="right" w:leader="dot" w:pos="8296"/>
      </w:tabs>
      <w:ind w:leftChars="400" w:left="840"/>
    </w:pPr>
  </w:style>
  <w:style w:type="paragraph" w:styleId="a4">
    <w:name w:val="Balloon Text"/>
    <w:basedOn w:val="a"/>
    <w:link w:val="Char0"/>
    <w:uiPriority w:val="99"/>
    <w:semiHidden/>
    <w:unhideWhenUsed/>
    <w:qFormat/>
    <w:rsid w:val="00B377EC"/>
    <w:rPr>
      <w:sz w:val="18"/>
      <w:szCs w:val="18"/>
    </w:rPr>
  </w:style>
  <w:style w:type="paragraph" w:styleId="a5">
    <w:name w:val="footer"/>
    <w:basedOn w:val="a"/>
    <w:link w:val="Char1"/>
    <w:uiPriority w:val="99"/>
    <w:qFormat/>
    <w:rsid w:val="00B377EC"/>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B377EC"/>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B377EC"/>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B377EC"/>
    <w:pPr>
      <w:tabs>
        <w:tab w:val="right" w:leader="dot" w:pos="8296"/>
      </w:tabs>
      <w:ind w:leftChars="200" w:left="420"/>
    </w:pPr>
  </w:style>
  <w:style w:type="character" w:styleId="a7">
    <w:name w:val="Strong"/>
    <w:basedOn w:val="a1"/>
    <w:uiPriority w:val="99"/>
    <w:qFormat/>
    <w:rsid w:val="00B377EC"/>
    <w:rPr>
      <w:b/>
    </w:rPr>
  </w:style>
  <w:style w:type="character" w:styleId="a8">
    <w:name w:val="Hyperlink"/>
    <w:basedOn w:val="a1"/>
    <w:uiPriority w:val="99"/>
    <w:unhideWhenUsed/>
    <w:qFormat/>
    <w:rsid w:val="00B377EC"/>
    <w:rPr>
      <w:color w:val="0000FF" w:themeColor="hyperlink"/>
      <w:u w:val="single"/>
    </w:rPr>
  </w:style>
  <w:style w:type="character" w:customStyle="1" w:styleId="HeaderChar">
    <w:name w:val="Header Char"/>
    <w:basedOn w:val="a1"/>
    <w:uiPriority w:val="99"/>
    <w:semiHidden/>
    <w:qFormat/>
    <w:rsid w:val="00B377EC"/>
    <w:rPr>
      <w:rFonts w:ascii="Times New Roman" w:hAnsi="Times New Roman"/>
      <w:sz w:val="18"/>
      <w:szCs w:val="18"/>
    </w:rPr>
  </w:style>
  <w:style w:type="character" w:customStyle="1" w:styleId="Char2">
    <w:name w:val="页眉 Char"/>
    <w:link w:val="a6"/>
    <w:uiPriority w:val="99"/>
    <w:semiHidden/>
    <w:qFormat/>
    <w:locked/>
    <w:rsid w:val="00B377EC"/>
    <w:rPr>
      <w:sz w:val="18"/>
    </w:rPr>
  </w:style>
  <w:style w:type="character" w:customStyle="1" w:styleId="FooterChar">
    <w:name w:val="Footer Char"/>
    <w:basedOn w:val="a1"/>
    <w:uiPriority w:val="99"/>
    <w:qFormat/>
    <w:rsid w:val="00B377EC"/>
    <w:rPr>
      <w:rFonts w:ascii="Times New Roman" w:hAnsi="Times New Roman"/>
      <w:sz w:val="18"/>
      <w:szCs w:val="18"/>
    </w:rPr>
  </w:style>
  <w:style w:type="character" w:customStyle="1" w:styleId="Char1">
    <w:name w:val="页脚 Char"/>
    <w:link w:val="a5"/>
    <w:uiPriority w:val="99"/>
    <w:qFormat/>
    <w:locked/>
    <w:rsid w:val="00B377EC"/>
    <w:rPr>
      <w:sz w:val="18"/>
    </w:rPr>
  </w:style>
  <w:style w:type="character" w:customStyle="1" w:styleId="BodyTextChar">
    <w:name w:val="Body Text Char"/>
    <w:basedOn w:val="a1"/>
    <w:uiPriority w:val="99"/>
    <w:semiHidden/>
    <w:qFormat/>
    <w:rsid w:val="00B377EC"/>
    <w:rPr>
      <w:rFonts w:ascii="Times New Roman" w:hAnsi="Times New Roman"/>
      <w:szCs w:val="24"/>
    </w:rPr>
  </w:style>
  <w:style w:type="character" w:customStyle="1" w:styleId="Char">
    <w:name w:val="正文文本 Char"/>
    <w:link w:val="a0"/>
    <w:uiPriority w:val="99"/>
    <w:qFormat/>
    <w:locked/>
    <w:rsid w:val="00B377EC"/>
    <w:rPr>
      <w:rFonts w:ascii="仿宋_GB2312" w:eastAsia="仿宋_GB2312" w:hAnsi="Times New Roman"/>
      <w:sz w:val="24"/>
    </w:rPr>
  </w:style>
  <w:style w:type="paragraph" w:customStyle="1" w:styleId="Default">
    <w:name w:val="Default"/>
    <w:uiPriority w:val="99"/>
    <w:qFormat/>
    <w:rsid w:val="00B377EC"/>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B377EC"/>
    <w:pPr>
      <w:ind w:firstLineChars="200" w:firstLine="420"/>
    </w:pPr>
  </w:style>
  <w:style w:type="character" w:customStyle="1" w:styleId="1Char">
    <w:name w:val="标题 1 Char"/>
    <w:basedOn w:val="a1"/>
    <w:link w:val="1"/>
    <w:uiPriority w:val="9"/>
    <w:qFormat/>
    <w:rsid w:val="00B377EC"/>
    <w:rPr>
      <w:rFonts w:ascii="Times New Roman" w:hAnsi="Times New Roman"/>
      <w:b/>
      <w:bCs/>
      <w:kern w:val="44"/>
      <w:sz w:val="44"/>
      <w:szCs w:val="44"/>
    </w:rPr>
  </w:style>
  <w:style w:type="character" w:customStyle="1" w:styleId="2Char">
    <w:name w:val="标题 2 Char"/>
    <w:basedOn w:val="a1"/>
    <w:link w:val="2"/>
    <w:uiPriority w:val="9"/>
    <w:qFormat/>
    <w:rsid w:val="00B377EC"/>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B377E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B377EC"/>
    <w:rPr>
      <w:rFonts w:ascii="Times New Roman" w:hAnsi="Times New Roman"/>
      <w:kern w:val="2"/>
      <w:sz w:val="18"/>
      <w:szCs w:val="18"/>
    </w:rPr>
  </w:style>
  <w:style w:type="character" w:customStyle="1" w:styleId="3Char">
    <w:name w:val="标题 3 Char"/>
    <w:basedOn w:val="a1"/>
    <w:link w:val="3"/>
    <w:uiPriority w:val="9"/>
    <w:qFormat/>
    <w:rsid w:val="00B377EC"/>
    <w:rPr>
      <w:rFonts w:ascii="Times New Roman" w:hAnsi="Times New Roman"/>
      <w:b/>
      <w:bCs/>
      <w:kern w:val="2"/>
      <w:sz w:val="32"/>
      <w:szCs w:val="32"/>
    </w:rPr>
  </w:style>
  <w:style w:type="paragraph" w:customStyle="1" w:styleId="TOC2">
    <w:name w:val="TOC 标题2"/>
    <w:basedOn w:val="1"/>
    <w:next w:val="a"/>
    <w:uiPriority w:val="39"/>
    <w:unhideWhenUsed/>
    <w:qFormat/>
    <w:rsid w:val="00B377E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21">
    <w:name w:val="正文2"/>
    <w:basedOn w:val="a"/>
    <w:next w:val="a"/>
    <w:uiPriority w:val="99"/>
    <w:qFormat/>
    <w:rsid w:val="00B377EC"/>
    <w:rPr>
      <w:rFonts w:ascii="Calibri" w:hAnsi="Calibri"/>
    </w:rPr>
  </w:style>
  <w:style w:type="paragraph" w:styleId="TOC">
    <w:name w:val="TOC Heading"/>
    <w:basedOn w:val="1"/>
    <w:next w:val="a"/>
    <w:uiPriority w:val="39"/>
    <w:unhideWhenUsed/>
    <w:qFormat/>
    <w:rsid w:val="009621FB"/>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https://myoffice.accenture.com/personal/yaosheng_yu_accenture_com/Documents/Desktop/temp/wenwen/0817/&#22270;&#24418;1.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___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yaosheng.yu\OneDrive%20-%20Accenture\Desktop\temp\wenwen\0817\&#22270;&#244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myoffice.accenture.com/personal/yaosheng_yu_accenture_com/Documents/Desktop/temp/wenwen/0817/&#22270;&#24418;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yaosheng.yu\OneDrive%20-%20Accenture\Desktop\temp\wenwen\0817\&#22270;&#2441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yaosheng.yu\OneDrive%20-%20Accenture\Desktop\temp\wenwen\0817\&#22270;&#24418;.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myoffice.accenture.com/personal/yaosheng_yu_accenture_com/Documents/Desktop/temp/wenwen/0817/&#22270;&#24418;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lang="en-US" sz="1050" b="0" i="0" u="none" strike="noStrike" kern="1200" spc="0" baseline="0">
                <a:solidFill>
                  <a:schemeClr val="tx1">
                    <a:lumMod val="65000"/>
                    <a:lumOff val="35000"/>
                  </a:schemeClr>
                </a:solidFill>
                <a:latin typeface="仿宋" panose="02010609060101010101" pitchFamily="49" charset="-122"/>
                <a:ea typeface="仿宋" panose="02010609060101010101" pitchFamily="49" charset="-122"/>
                <a:cs typeface="+mn-cs"/>
              </a:defRPr>
            </a:pPr>
            <a:r>
              <a:rPr lang="zh-CN" altLang="en-US" sz="1050">
                <a:latin typeface="仿宋" panose="02010609060101010101" pitchFamily="49" charset="-122"/>
                <a:ea typeface="仿宋" panose="02010609060101010101" pitchFamily="49" charset="-122"/>
              </a:rPr>
              <a:t>单位</a:t>
            </a:r>
            <a:r>
              <a:rPr lang="en-US" altLang="zh-CN" sz="1050">
                <a:latin typeface="仿宋" panose="02010609060101010101" pitchFamily="49" charset="-122"/>
                <a:ea typeface="仿宋" panose="02010609060101010101" pitchFamily="49" charset="-122"/>
              </a:rPr>
              <a:t>:</a:t>
            </a:r>
            <a:r>
              <a:rPr lang="zh-CN" altLang="en-US" sz="1050">
                <a:latin typeface="仿宋" panose="02010609060101010101" pitchFamily="49" charset="-122"/>
                <a:ea typeface="仿宋" panose="02010609060101010101" pitchFamily="49" charset="-122"/>
              </a:rPr>
              <a:t>万元</a:t>
            </a:r>
            <a:endParaRPr lang="en-US" altLang="zh-CN" sz="1050">
              <a:latin typeface="仿宋" panose="02010609060101010101" pitchFamily="49" charset="-122"/>
              <a:ea typeface="仿宋" panose="02010609060101010101" pitchFamily="49" charset="-122"/>
            </a:endParaRPr>
          </a:p>
        </c:rich>
      </c:tx>
      <c:layout>
        <c:manualLayout>
          <c:xMode val="edge"/>
          <c:yMode val="edge"/>
          <c:x val="0.79044169094740235"/>
          <c:y val="3.4042564597944247E-2"/>
        </c:manualLayout>
      </c:layout>
      <c:spPr>
        <a:noFill/>
        <a:ln>
          <a:noFill/>
        </a:ln>
        <a:effectLst/>
      </c:spPr>
    </c:title>
    <c:plotArea>
      <c:layout/>
      <c:barChart>
        <c:barDir val="col"/>
        <c:grouping val="clustered"/>
        <c:ser>
          <c:idx val="0"/>
          <c:order val="0"/>
          <c:tx>
            <c:strRef>
              <c:f>Sheet1!$A$2</c:f>
              <c:strCache>
                <c:ptCount val="1"/>
                <c:pt idx="0">
                  <c:v>2020</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zh-CN"/>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金额</c:v>
                </c:pt>
              </c:strCache>
            </c:strRef>
          </c:cat>
          <c:val>
            <c:numRef>
              <c:f>Sheet1!$B$2</c:f>
              <c:numCache>
                <c:formatCode>General</c:formatCode>
                <c:ptCount val="1"/>
                <c:pt idx="0">
                  <c:v>984</c:v>
                </c:pt>
              </c:numCache>
            </c:numRef>
          </c:val>
          <c:extLst xmlns:c16r2="http://schemas.microsoft.com/office/drawing/2015/06/chart">
            <c:ext xmlns:c16="http://schemas.microsoft.com/office/drawing/2014/chart" uri="{C3380CC4-5D6E-409C-BE32-E72D297353CC}">
              <c16:uniqueId val="{00000000-310C-40F8-8770-00FF88B271B3}"/>
            </c:ext>
          </c:extLst>
        </c:ser>
        <c:ser>
          <c:idx val="1"/>
          <c:order val="1"/>
          <c:tx>
            <c:strRef>
              <c:f>Sheet1!$A$3</c:f>
              <c:strCache>
                <c:ptCount val="1"/>
                <c:pt idx="0">
                  <c:v>2021</c:v>
                </c:pt>
              </c:strCache>
            </c:strRef>
          </c:tx>
          <c:spPr>
            <a:solidFill>
              <a:srgbClr val="C0000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zh-CN"/>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金额</c:v>
                </c:pt>
              </c:strCache>
            </c:strRef>
          </c:cat>
          <c:val>
            <c:numRef>
              <c:f>Sheet1!$B$3</c:f>
              <c:numCache>
                <c:formatCode>General</c:formatCode>
                <c:ptCount val="1"/>
                <c:pt idx="0">
                  <c:v>1308.31</c:v>
                </c:pt>
              </c:numCache>
            </c:numRef>
          </c:val>
          <c:extLst xmlns:c16r2="http://schemas.microsoft.com/office/drawing/2015/06/chart">
            <c:ext xmlns:c16="http://schemas.microsoft.com/office/drawing/2014/chart" uri="{C3380CC4-5D6E-409C-BE32-E72D297353CC}">
              <c16:uniqueId val="{00000001-310C-40F8-8770-00FF88B271B3}"/>
            </c:ext>
          </c:extLst>
        </c:ser>
        <c:dLbls>
          <c:showVal val="1"/>
        </c:dLbls>
        <c:gapWidth val="219"/>
        <c:overlap val="-27"/>
        <c:axId val="300085632"/>
        <c:axId val="300087552"/>
      </c:barChart>
      <c:catAx>
        <c:axId val="300085632"/>
        <c:scaling>
          <c:orientation val="minMax"/>
        </c:scaling>
        <c:delete val="1"/>
        <c:axPos val="b"/>
        <c:title>
          <c:tx>
            <c:rich>
              <a:bodyPr rot="0" spcFirstLastPara="1" vertOverflow="ellipsis" vert="horz" wrap="square" anchor="ctr" anchorCtr="1"/>
              <a:lstStyle/>
              <a:p>
                <a:pPr>
                  <a:defRPr lang="en-US" sz="1200" b="0" i="0" u="none" strike="noStrike" kern="1200" baseline="0">
                    <a:solidFill>
                      <a:schemeClr val="tx1">
                        <a:lumMod val="65000"/>
                        <a:lumOff val="35000"/>
                      </a:schemeClr>
                    </a:solidFill>
                    <a:latin typeface="仿宋" panose="02010609060101010101" pitchFamily="49" charset="-122"/>
                    <a:ea typeface="仿宋" panose="02010609060101010101" pitchFamily="49" charset="-122"/>
                    <a:cs typeface="+mn-cs"/>
                  </a:defRPr>
                </a:pPr>
                <a:r>
                  <a:rPr lang="zh-CN" altLang="zh-CN" sz="1200" b="0" i="0" baseline="0">
                    <a:effectLst/>
                    <a:latin typeface="仿宋" panose="02010609060101010101" pitchFamily="49" charset="-122"/>
                    <a:ea typeface="仿宋" panose="02010609060101010101" pitchFamily="49" charset="-122"/>
                  </a:rPr>
                  <a:t>收支决算总计变动情况表</a:t>
                </a:r>
                <a:endParaRPr lang="zh-CN" altLang="zh-CN" sz="1200">
                  <a:effectLst/>
                  <a:latin typeface="仿宋" panose="02010609060101010101" pitchFamily="49" charset="-122"/>
                  <a:ea typeface="仿宋" panose="02010609060101010101" pitchFamily="49" charset="-122"/>
                </a:endParaRPr>
              </a:p>
            </c:rich>
          </c:tx>
          <c:spPr>
            <a:noFill/>
            <a:ln>
              <a:noFill/>
            </a:ln>
            <a:effectLst/>
          </c:spPr>
        </c:title>
        <c:numFmt formatCode="General" sourceLinked="1"/>
        <c:tickLblPos val="nextTo"/>
        <c:crossAx val="300087552"/>
        <c:crosses val="autoZero"/>
        <c:auto val="1"/>
        <c:lblAlgn val="ctr"/>
        <c:lblOffset val="100"/>
      </c:catAx>
      <c:valAx>
        <c:axId val="30008755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zh-CN"/>
          </a:p>
        </c:txPr>
        <c:crossAx val="300085632"/>
        <c:crosses val="autoZero"/>
        <c:crossBetween val="between"/>
      </c:valAx>
      <c:spPr>
        <a:noFill/>
        <a:ln>
          <a:noFill/>
        </a:ln>
        <a:effectLst/>
      </c:spPr>
    </c:plotArea>
    <c:legend>
      <c:legendPos val="b"/>
      <c:layout>
        <c:manualLayout>
          <c:xMode val="edge"/>
          <c:yMode val="edge"/>
          <c:x val="0.40068941382327239"/>
          <c:y val="0.86631889763779601"/>
          <c:w val="0.1728645891094599"/>
          <c:h val="7.1809037295706923E-2"/>
        </c:manualLayout>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1" i="0" u="none" strike="noStrike" kern="1200" baseline="0">
                <a:solidFill>
                  <a:schemeClr val="tx1">
                    <a:lumMod val="65000"/>
                    <a:lumOff val="35000"/>
                  </a:schemeClr>
                </a:solidFill>
                <a:latin typeface="仿宋" panose="02010609060101010101" pitchFamily="49" charset="-122"/>
                <a:ea typeface="仿宋" panose="02010609060101010101" pitchFamily="49" charset="-122"/>
                <a:cs typeface="+mn-cs"/>
              </a:defRPr>
            </a:pPr>
            <a:r>
              <a:rPr lang="zh-CN" sz="1400">
                <a:latin typeface="仿宋" panose="02010609060101010101" pitchFamily="49" charset="-122"/>
                <a:ea typeface="仿宋" panose="02010609060101010101" pitchFamily="49" charset="-122"/>
              </a:rPr>
              <a:t>收入</a:t>
            </a:r>
            <a:r>
              <a:rPr lang="zh-CN" altLang="en-US" sz="1400">
                <a:latin typeface="仿宋" panose="02010609060101010101" pitchFamily="49" charset="-122"/>
                <a:ea typeface="仿宋" panose="02010609060101010101" pitchFamily="49" charset="-122"/>
              </a:rPr>
              <a:t>决算</a:t>
            </a:r>
            <a:r>
              <a:rPr lang="zh-CN" sz="1400">
                <a:latin typeface="仿宋" panose="02010609060101010101" pitchFamily="49" charset="-122"/>
                <a:ea typeface="仿宋" panose="02010609060101010101" pitchFamily="49" charset="-122"/>
              </a:rPr>
              <a:t>结构图</a:t>
            </a:r>
            <a:endParaRPr lang="en-US" sz="1400">
              <a:latin typeface="仿宋" panose="02010609060101010101" pitchFamily="49" charset="-122"/>
              <a:ea typeface="仿宋" panose="02010609060101010101" pitchFamily="49" charset="-122"/>
            </a:endParaRPr>
          </a:p>
        </c:rich>
      </c:tx>
      <c:spPr>
        <a:noFill/>
        <a:ln>
          <a:noFill/>
        </a:ln>
        <a:effectLst/>
      </c:spPr>
    </c:title>
    <c:plotArea>
      <c:layout/>
      <c:pieChart>
        <c:varyColors val="1"/>
        <c:ser>
          <c:idx val="0"/>
          <c:order val="0"/>
          <c:dPt>
            <c:idx val="0"/>
            <c:spPr>
              <a:solidFill>
                <a:srgbClr val="0070C0"/>
              </a:soli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AC14-4DF8-B49A-3736E07D5403}"/>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zh-CN"/>
              </a:p>
            </c:txPr>
            <c:dLblPos val="bestFit"/>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Sheet2!$A$1</c:f>
              <c:strCache>
                <c:ptCount val="1"/>
                <c:pt idx="0">
                  <c:v>一般公共预算财政拨款收入</c:v>
                </c:pt>
              </c:strCache>
            </c:strRef>
          </c:cat>
          <c:val>
            <c:numRef>
              <c:f>Sheet2!$B$1</c:f>
              <c:numCache>
                <c:formatCode>General</c:formatCode>
                <c:ptCount val="1"/>
                <c:pt idx="0">
                  <c:v>1303.75</c:v>
                </c:pt>
              </c:numCache>
            </c:numRef>
          </c:val>
          <c:extLst xmlns:c16r2="http://schemas.microsoft.com/office/drawing/2015/06/chart">
            <c:ext xmlns:c16="http://schemas.microsoft.com/office/drawing/2014/chart" uri="{C3380CC4-5D6E-409C-BE32-E72D297353CC}">
              <c16:uniqueId val="{00000002-AC14-4DF8-B49A-3736E07D5403}"/>
            </c:ext>
          </c:extLst>
        </c:ser>
        <c:dLbls>
          <c:showVal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仿宋" panose="02010609060101010101" pitchFamily="49" charset="-122"/>
              <a:ea typeface="仿宋" panose="02010609060101010101" pitchFamily="49" charset="-122"/>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lang="en-US" sz="1260" b="1" i="0" u="none" strike="noStrike" kern="1200" baseline="0">
                <a:solidFill>
                  <a:schemeClr val="tx2"/>
                </a:solidFill>
                <a:latin typeface="仿宋" panose="02010609060101010101" pitchFamily="3" charset="-122"/>
                <a:ea typeface="仿宋" panose="02010609060101010101" pitchFamily="3" charset="-122"/>
                <a:cs typeface="+mn-cs"/>
              </a:defRPr>
            </a:pPr>
            <a:r>
              <a:rPr lang="zh-CN"/>
              <a:t>决算支出结构图</a:t>
            </a:r>
            <a:endParaRPr lang="en-US"/>
          </a:p>
        </c:rich>
      </c:tx>
      <c:spPr>
        <a:noFill/>
        <a:ln>
          <a:noFill/>
        </a:ln>
        <a:effectLst/>
      </c:spPr>
    </c:title>
    <c:plotArea>
      <c:layout/>
      <c:pieChart>
        <c:varyColors val="1"/>
        <c:ser>
          <c:idx val="0"/>
          <c:order val="0"/>
          <c:spPr>
            <a:ln>
              <a:solidFill>
                <a:schemeClr val="accent1"/>
              </a:solidFill>
            </a:ln>
          </c:spPr>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solidFill>
                  <a:schemeClr val="accent1"/>
                </a:solidFill>
              </a:ln>
              <a:effectLst/>
            </c:spPr>
            <c:extLst xmlns:c16r2="http://schemas.microsoft.com/office/drawing/2015/06/chart">
              <c:ext xmlns:c16="http://schemas.microsoft.com/office/drawing/2014/chart" uri="{C3380CC4-5D6E-409C-BE32-E72D297353CC}">
                <c16:uniqueId val="{00000000-27AB-4F9E-A4F4-F17EE243E110}"/>
              </c:ext>
            </c:extLst>
          </c:dPt>
          <c:dPt>
            <c:idx val="1"/>
            <c:spPr>
              <a:solidFill>
                <a:srgbClr val="C00000"/>
              </a:solidFill>
              <a:ln>
                <a:noFill/>
              </a:ln>
              <a:effectLst/>
            </c:spPr>
            <c:extLst xmlns:c16r2="http://schemas.microsoft.com/office/drawing/2015/06/chart">
              <c:ext xmlns:c16="http://schemas.microsoft.com/office/drawing/2014/chart" uri="{C3380CC4-5D6E-409C-BE32-E72D297353CC}">
                <c16:uniqueId val="{00000001-27AB-4F9E-A4F4-F17EE243E110}"/>
              </c:ext>
            </c:extLst>
          </c:dPt>
          <c:dLbls>
            <c:numFmt formatCode="0.00%" sourceLinked="0"/>
            <c:spPr>
              <a:noFill/>
              <a:ln>
                <a:noFill/>
              </a:ln>
              <a:effectLst/>
            </c:spPr>
            <c:txPr>
              <a:bodyPr rot="0" spcFirstLastPara="1" vertOverflow="ellipsis" vert="horz" wrap="square" lIns="38100" tIns="19050" rIns="38100" bIns="19050" anchor="ctr" anchorCtr="1"/>
              <a:lstStyle/>
              <a:p>
                <a:pPr>
                  <a:defRPr lang="en-US" sz="1050" b="0" i="0" u="none" strike="noStrike" kern="1200" baseline="0">
                    <a:solidFill>
                      <a:schemeClr val="tx2"/>
                    </a:solidFill>
                    <a:latin typeface="仿宋" panose="02010609060101010101" pitchFamily="3" charset="-122"/>
                    <a:ea typeface="仿宋" panose="02010609060101010101" pitchFamily="3" charset="-122"/>
                    <a:cs typeface="+mn-cs"/>
                  </a:defRPr>
                </a:pPr>
                <a:endParaRPr lang="zh-CN"/>
              </a:p>
            </c:txPr>
            <c:dLblPos val="bestFit"/>
            <c:showPercent val="1"/>
            <c:separator>; </c:separator>
            <c:showLeaderLines val="1"/>
            <c:leaderLines>
              <c:spPr>
                <a:ln w="9525" cap="flat" cmpd="sng" algn="ctr">
                  <a:solidFill>
                    <a:schemeClr val="tx2">
                      <a:lumMod val="35000"/>
                      <a:lumOff val="65000"/>
                    </a:schemeClr>
                  </a:solidFill>
                  <a:prstDash val="solid"/>
                  <a:round/>
                </a:ln>
                <a:effectLst/>
              </c:spPr>
            </c:leaderLines>
            <c:extLst xmlns:c16r2="http://schemas.microsoft.com/office/drawing/2015/06/chart">
              <c:ext xmlns:c15="http://schemas.microsoft.com/office/drawing/2012/chart" uri="{CE6537A1-D6FC-4f65-9D91-7224C49458BB}"/>
            </c:extLst>
          </c:dLbls>
          <c:cat>
            <c:strRef>
              <c:f>Sheet3!$A$1:$A$2</c:f>
              <c:strCache>
                <c:ptCount val="2"/>
                <c:pt idx="0">
                  <c:v>基本支出</c:v>
                </c:pt>
                <c:pt idx="1">
                  <c:v>项目支出</c:v>
                </c:pt>
              </c:strCache>
            </c:strRef>
          </c:cat>
          <c:val>
            <c:numRef>
              <c:f>Sheet3!$B$1:$B$2</c:f>
              <c:numCache>
                <c:formatCode>General</c:formatCode>
                <c:ptCount val="2"/>
                <c:pt idx="0">
                  <c:v>932.31999999999948</c:v>
                </c:pt>
                <c:pt idx="1">
                  <c:v>300.17</c:v>
                </c:pt>
              </c:numCache>
            </c:numRef>
          </c:val>
          <c:extLst xmlns:c16r2="http://schemas.microsoft.com/office/drawing/2015/06/chart">
            <c:ext xmlns:c16="http://schemas.microsoft.com/office/drawing/2014/chart" uri="{C3380CC4-5D6E-409C-BE32-E72D297353CC}">
              <c16:uniqueId val="{00000002-27AB-4F9E-A4F4-F17EE243E110}"/>
            </c:ext>
          </c:extLst>
        </c:ser>
        <c:dLbls>
          <c:showVal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lang="en-US" sz="1050" b="0" i="0" u="none" strike="noStrike" kern="1200" baseline="0">
              <a:solidFill>
                <a:schemeClr val="tx2"/>
              </a:solidFill>
              <a:latin typeface="仿宋" panose="02010609060101010101" pitchFamily="3" charset="-122"/>
              <a:ea typeface="仿宋" panose="02010609060101010101" pitchFamily="3" charset="-122"/>
              <a:cs typeface="+mn-cs"/>
            </a:defRPr>
          </a:pPr>
          <a:endParaRPr lang="zh-CN"/>
        </a:p>
      </c:txPr>
    </c:legend>
    <c:plotVisOnly val="1"/>
    <c:dispBlanksAs val="zero"/>
  </c:chart>
  <c:spPr>
    <a:solidFill>
      <a:schemeClr val="bg1"/>
    </a:solidFill>
    <a:ln w="9525" cap="flat" cmpd="sng" algn="ctr">
      <a:solidFill>
        <a:schemeClr val="tx2">
          <a:lumMod val="15000"/>
          <a:lumOff val="85000"/>
        </a:schemeClr>
      </a:solidFill>
      <a:prstDash val="solid"/>
      <a:round/>
    </a:ln>
    <a:effectLst/>
  </c:spPr>
  <c:txPr>
    <a:bodyPr/>
    <a:lstStyle/>
    <a:p>
      <a:pPr>
        <a:defRPr lang="zh-CN" sz="1050">
          <a:latin typeface="仿宋" panose="02010609060101010101" pitchFamily="3" charset="-122"/>
          <a:ea typeface="仿宋" panose="02010609060101010101" pitchFamily="3" charset="-122"/>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lang="en-US" sz="1260" b="0" i="0" u="none" strike="noStrike" kern="1200" spc="0" baseline="0">
                <a:solidFill>
                  <a:schemeClr val="tx1">
                    <a:lumMod val="65000"/>
                    <a:lumOff val="35000"/>
                  </a:schemeClr>
                </a:solidFill>
                <a:latin typeface="仿宋" panose="02010609060101010101" pitchFamily="49" charset="-122"/>
                <a:ea typeface="仿宋" panose="02010609060101010101" pitchFamily="49" charset="-122"/>
                <a:cs typeface="+mn-cs"/>
              </a:defRPr>
            </a:pPr>
            <a:r>
              <a:rPr lang="zh-CN"/>
              <a:t>单位：万元</a:t>
            </a:r>
            <a:endParaRPr lang="en-US"/>
          </a:p>
        </c:rich>
      </c:tx>
      <c:layout>
        <c:manualLayout>
          <c:xMode val="edge"/>
          <c:yMode val="edge"/>
          <c:x val="0.79242979242979328"/>
          <c:y val="4.1666666666666664E-2"/>
        </c:manualLayout>
      </c:layout>
      <c:spPr>
        <a:noFill/>
        <a:ln>
          <a:noFill/>
        </a:ln>
        <a:effectLst/>
      </c:spPr>
    </c:title>
    <c:plotArea>
      <c:layout/>
      <c:barChart>
        <c:barDir val="col"/>
        <c:grouping val="clustered"/>
        <c:ser>
          <c:idx val="0"/>
          <c:order val="0"/>
          <c:tx>
            <c:strRef>
              <c:f>Sheet4!$B$1</c:f>
              <c:strCache>
                <c:ptCount val="1"/>
                <c:pt idx="0">
                  <c:v>2022</c:v>
                </c:pt>
              </c:strCache>
            </c:strRef>
          </c:tx>
          <c:spPr>
            <a:solidFill>
              <a:schemeClr val="accent1"/>
            </a:solidFill>
            <a:ln>
              <a:noFill/>
            </a:ln>
            <a:effectLst/>
          </c:spPr>
          <c:dLbls>
            <c:spPr>
              <a:noFill/>
              <a:ln>
                <a:noFill/>
              </a:ln>
              <a:effectLst/>
            </c:spPr>
            <c:txPr>
              <a:bodyPr rot="0" spcFirstLastPara="1" vertOverflow="ellipsis" vert="horz" wrap="square" anchor="ctr" anchorCtr="1"/>
              <a:lstStyle/>
              <a:p>
                <a:pPr>
                  <a:defRPr lang="en-US" sz="1050" b="0" i="0" u="none" strike="noStrike" kern="1200" baseline="0">
                    <a:solidFill>
                      <a:schemeClr val="tx1">
                        <a:lumMod val="75000"/>
                        <a:lumOff val="25000"/>
                      </a:schemeClr>
                    </a:solidFill>
                    <a:latin typeface="仿宋" panose="02010609060101010101" pitchFamily="49" charset="-122"/>
                    <a:ea typeface="仿宋" panose="02010609060101010101" pitchFamily="49" charset="-122"/>
                    <a:cs typeface="+mn-cs"/>
                  </a:defRPr>
                </a:pPr>
                <a:endParaRPr lang="zh-CN"/>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Sheet4!$A$2</c:f>
              <c:strCache>
                <c:ptCount val="1"/>
                <c:pt idx="0">
                  <c:v>金额</c:v>
                </c:pt>
              </c:strCache>
            </c:strRef>
          </c:cat>
          <c:val>
            <c:numRef>
              <c:f>Sheet4!$B$2</c:f>
              <c:numCache>
                <c:formatCode>General</c:formatCode>
                <c:ptCount val="1"/>
                <c:pt idx="0">
                  <c:v>984</c:v>
                </c:pt>
              </c:numCache>
            </c:numRef>
          </c:val>
          <c:extLst xmlns:c16r2="http://schemas.microsoft.com/office/drawing/2015/06/chart">
            <c:ext xmlns:c16="http://schemas.microsoft.com/office/drawing/2014/chart" uri="{C3380CC4-5D6E-409C-BE32-E72D297353CC}">
              <c16:uniqueId val="{00000000-1D02-4679-B9CE-CFB62AF5E8C1}"/>
            </c:ext>
          </c:extLst>
        </c:ser>
        <c:ser>
          <c:idx val="1"/>
          <c:order val="1"/>
          <c:tx>
            <c:strRef>
              <c:f>Sheet4!$C$1</c:f>
              <c:strCache>
                <c:ptCount val="1"/>
                <c:pt idx="0">
                  <c:v>2021</c:v>
                </c:pt>
              </c:strCache>
            </c:strRef>
          </c:tx>
          <c:spPr>
            <a:solidFill>
              <a:schemeClr val="accent2"/>
            </a:solidFill>
            <a:ln>
              <a:noFill/>
            </a:ln>
            <a:effectLst/>
          </c:spPr>
          <c:dLbls>
            <c:spPr>
              <a:noFill/>
              <a:ln>
                <a:noFill/>
              </a:ln>
              <a:effectLst/>
            </c:spPr>
            <c:txPr>
              <a:bodyPr rot="0" spcFirstLastPara="1" vertOverflow="ellipsis" vert="horz" wrap="square" anchor="ctr" anchorCtr="1"/>
              <a:lstStyle/>
              <a:p>
                <a:pPr>
                  <a:defRPr lang="en-US" sz="1050" b="0" i="0" u="none" strike="noStrike" kern="1200" baseline="0">
                    <a:solidFill>
                      <a:schemeClr val="tx1">
                        <a:lumMod val="75000"/>
                        <a:lumOff val="25000"/>
                      </a:schemeClr>
                    </a:solidFill>
                    <a:latin typeface="仿宋" panose="02010609060101010101" pitchFamily="49" charset="-122"/>
                    <a:ea typeface="仿宋" panose="02010609060101010101" pitchFamily="49" charset="-122"/>
                    <a:cs typeface="+mn-cs"/>
                  </a:defRPr>
                </a:pPr>
                <a:endParaRPr lang="zh-CN"/>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Sheet4!$A$2</c:f>
              <c:strCache>
                <c:ptCount val="1"/>
                <c:pt idx="0">
                  <c:v>金额</c:v>
                </c:pt>
              </c:strCache>
            </c:strRef>
          </c:cat>
          <c:val>
            <c:numRef>
              <c:f>Sheet4!$C$2</c:f>
              <c:numCache>
                <c:formatCode>General</c:formatCode>
                <c:ptCount val="1"/>
                <c:pt idx="0">
                  <c:v>1308.31</c:v>
                </c:pt>
              </c:numCache>
            </c:numRef>
          </c:val>
          <c:extLst xmlns:c16r2="http://schemas.microsoft.com/office/drawing/2015/06/chart">
            <c:ext xmlns:c16="http://schemas.microsoft.com/office/drawing/2014/chart" uri="{C3380CC4-5D6E-409C-BE32-E72D297353CC}">
              <c16:uniqueId val="{00000001-1D02-4679-B9CE-CFB62AF5E8C1}"/>
            </c:ext>
          </c:extLst>
        </c:ser>
        <c:dLbls>
          <c:showVal val="1"/>
        </c:dLbls>
        <c:gapWidth val="219"/>
        <c:overlap val="-27"/>
        <c:axId val="437433856"/>
        <c:axId val="437435776"/>
      </c:barChart>
      <c:catAx>
        <c:axId val="437433856"/>
        <c:scaling>
          <c:orientation val="minMax"/>
        </c:scaling>
        <c:delete val="1"/>
        <c:axPos val="b"/>
        <c:title>
          <c:tx>
            <c:rich>
              <a:bodyPr rot="0" spcFirstLastPara="1" vertOverflow="ellipsis" vert="horz" wrap="square" anchor="ctr" anchorCtr="1"/>
              <a:lstStyle/>
              <a:p>
                <a:pPr>
                  <a:defRPr lang="en-US" sz="1050" b="0" i="0" u="none" strike="noStrike" kern="1200" baseline="0">
                    <a:solidFill>
                      <a:schemeClr val="tx1">
                        <a:lumMod val="65000"/>
                        <a:lumOff val="35000"/>
                      </a:schemeClr>
                    </a:solidFill>
                    <a:latin typeface="仿宋" panose="02010609060101010101" pitchFamily="49" charset="-122"/>
                    <a:ea typeface="仿宋" panose="02010609060101010101" pitchFamily="49" charset="-122"/>
                    <a:cs typeface="+mn-cs"/>
                  </a:defRPr>
                </a:pPr>
                <a:r>
                  <a:rPr lang="zh-CN" altLang="zh-CN" sz="1050" b="0" i="0" u="none" strike="noStrike" baseline="0">
                    <a:effectLst/>
                  </a:rPr>
                  <a:t>财政拨款收、支决算总计变动情况</a:t>
                </a:r>
                <a:endParaRPr lang="en-US"/>
              </a:p>
            </c:rich>
          </c:tx>
          <c:layout>
            <c:manualLayout>
              <c:xMode val="edge"/>
              <c:yMode val="edge"/>
              <c:x val="0.29429686673781208"/>
              <c:y val="0.78506889763779564"/>
            </c:manualLayout>
          </c:layout>
          <c:spPr>
            <a:noFill/>
            <a:ln>
              <a:noFill/>
            </a:ln>
            <a:effectLst/>
          </c:spPr>
        </c:title>
        <c:numFmt formatCode="General" sourceLinked="1"/>
        <c:majorTickMark val="none"/>
        <c:tickLblPos val="nextTo"/>
        <c:crossAx val="437435776"/>
        <c:crosses val="autoZero"/>
        <c:auto val="1"/>
        <c:lblAlgn val="ctr"/>
        <c:lblOffset val="100"/>
      </c:catAx>
      <c:valAx>
        <c:axId val="43743577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1050" b="0" i="0" u="none" strike="noStrike" kern="1200" baseline="0">
                <a:solidFill>
                  <a:schemeClr val="tx1">
                    <a:lumMod val="65000"/>
                    <a:lumOff val="35000"/>
                  </a:schemeClr>
                </a:solidFill>
                <a:latin typeface="仿宋" panose="02010609060101010101" pitchFamily="49" charset="-122"/>
                <a:ea typeface="仿宋" panose="02010609060101010101" pitchFamily="49" charset="-122"/>
                <a:cs typeface="+mn-cs"/>
              </a:defRPr>
            </a:pPr>
            <a:endParaRPr lang="zh-CN"/>
          </a:p>
        </c:txPr>
        <c:crossAx val="437433856"/>
        <c:crosses val="autoZero"/>
        <c:crossBetween val="between"/>
      </c:valAx>
      <c:spPr>
        <a:noFill/>
        <a:ln>
          <a:noFill/>
        </a:ln>
        <a:effectLst/>
      </c:spPr>
    </c:plotArea>
    <c:legend>
      <c:legendPos val="b"/>
      <c:layout>
        <c:manualLayout>
          <c:xMode val="edge"/>
          <c:yMode val="edge"/>
          <c:x val="0.41757799505831039"/>
          <c:y val="0.86631889763779601"/>
          <c:w val="0.17846153846153862"/>
          <c:h val="7.5902595508894735E-2"/>
        </c:manualLayout>
      </c:layout>
      <c:spPr>
        <a:noFill/>
        <a:ln>
          <a:noFill/>
        </a:ln>
        <a:effectLst/>
      </c:spPr>
      <c:txPr>
        <a:bodyPr rot="0" spcFirstLastPara="1" vertOverflow="ellipsis" vert="horz" wrap="square" anchor="ctr" anchorCtr="1"/>
        <a:lstStyle/>
        <a:p>
          <a:pPr>
            <a:defRPr lang="en-US" sz="1050" b="0" i="0" u="none" strike="noStrike" kern="1200" baseline="0">
              <a:solidFill>
                <a:schemeClr val="tx1">
                  <a:lumMod val="65000"/>
                  <a:lumOff val="35000"/>
                </a:schemeClr>
              </a:solidFill>
              <a:latin typeface="仿宋" panose="02010609060101010101" pitchFamily="49" charset="-122"/>
              <a:ea typeface="仿宋" panose="02010609060101010101" pitchFamily="49" charset="-122"/>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050">
          <a:latin typeface="仿宋" panose="02010609060101010101" pitchFamily="49" charset="-122"/>
          <a:ea typeface="仿宋" panose="02010609060101010101" pitchFamily="49" charset="-122"/>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lang="en-US" sz="1260" b="0" i="0" u="none" strike="noStrike" kern="1200" spc="0" baseline="0">
                <a:solidFill>
                  <a:schemeClr val="tx1">
                    <a:lumMod val="65000"/>
                    <a:lumOff val="35000"/>
                  </a:schemeClr>
                </a:solidFill>
                <a:latin typeface="仿宋" panose="02010609060101010101" pitchFamily="3" charset="-122"/>
                <a:ea typeface="仿宋" panose="02010609060101010101" pitchFamily="3" charset="-122"/>
                <a:cs typeface="+mn-cs"/>
              </a:defRPr>
            </a:pPr>
            <a:r>
              <a:rPr lang="zh-CN"/>
              <a:t>单位：万元</a:t>
            </a:r>
            <a:endParaRPr lang="en-US"/>
          </a:p>
        </c:rich>
      </c:tx>
      <c:layout>
        <c:manualLayout>
          <c:xMode val="edge"/>
          <c:yMode val="edge"/>
          <c:x val="0.79242979242979505"/>
          <c:y val="4.1666666666666713E-2"/>
        </c:manualLayout>
      </c:layout>
      <c:spPr>
        <a:noFill/>
        <a:ln>
          <a:noFill/>
        </a:ln>
        <a:effectLst/>
      </c:spPr>
    </c:title>
    <c:plotArea>
      <c:layout/>
      <c:barChart>
        <c:barDir val="col"/>
        <c:grouping val="clustered"/>
        <c:ser>
          <c:idx val="0"/>
          <c:order val="0"/>
          <c:tx>
            <c:strRef>
              <c:f>'Sheet4 (2)'!$B$1</c:f>
              <c:strCache>
                <c:ptCount val="1"/>
                <c:pt idx="0">
                  <c:v>2020</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lstStyle/>
              <a:p>
                <a:pPr>
                  <a:defRPr lang="en-US" sz="1050" b="0" i="0" u="none" strike="noStrike" kern="1200" baseline="0">
                    <a:solidFill>
                      <a:schemeClr val="tx1">
                        <a:lumMod val="75000"/>
                        <a:lumOff val="25000"/>
                      </a:schemeClr>
                    </a:solidFill>
                    <a:latin typeface="仿宋" panose="02010609060101010101" pitchFamily="3" charset="-122"/>
                    <a:ea typeface="仿宋" panose="02010609060101010101" pitchFamily="3" charset="-122"/>
                    <a:cs typeface="+mn-cs"/>
                  </a:defRPr>
                </a:pPr>
                <a:endParaRPr lang="zh-CN"/>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'Sheet4 (2)'!$A$2</c:f>
              <c:strCache>
                <c:ptCount val="1"/>
                <c:pt idx="0">
                  <c:v>金额</c:v>
                </c:pt>
              </c:strCache>
            </c:strRef>
          </c:cat>
          <c:val>
            <c:numRef>
              <c:f>'Sheet4 (2)'!$B$2</c:f>
              <c:numCache>
                <c:formatCode>General</c:formatCode>
                <c:ptCount val="1"/>
                <c:pt idx="0">
                  <c:v>854.58</c:v>
                </c:pt>
              </c:numCache>
            </c:numRef>
          </c:val>
          <c:extLst xmlns:c16r2="http://schemas.microsoft.com/office/drawing/2015/06/chart">
            <c:ext xmlns:c16="http://schemas.microsoft.com/office/drawing/2014/chart" uri="{C3380CC4-5D6E-409C-BE32-E72D297353CC}">
              <c16:uniqueId val="{00000000-3FFE-4778-ABD0-9FFA40431922}"/>
            </c:ext>
          </c:extLst>
        </c:ser>
        <c:ser>
          <c:idx val="1"/>
          <c:order val="1"/>
          <c:tx>
            <c:strRef>
              <c:f>'Sheet4 (2)'!$C$1</c:f>
              <c:strCache>
                <c:ptCount val="1"/>
                <c:pt idx="0">
                  <c:v>2021</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lstStyle/>
              <a:p>
                <a:pPr>
                  <a:defRPr lang="en-US" sz="1050" b="0" i="0" u="none" strike="noStrike" kern="1200" baseline="0">
                    <a:solidFill>
                      <a:schemeClr val="tx1">
                        <a:lumMod val="75000"/>
                        <a:lumOff val="25000"/>
                      </a:schemeClr>
                    </a:solidFill>
                    <a:latin typeface="仿宋" panose="02010609060101010101" pitchFamily="3" charset="-122"/>
                    <a:ea typeface="仿宋" panose="02010609060101010101" pitchFamily="3" charset="-122"/>
                    <a:cs typeface="+mn-cs"/>
                  </a:defRPr>
                </a:pPr>
                <a:endParaRPr lang="zh-CN"/>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'Sheet4 (2)'!$A$2</c:f>
              <c:strCache>
                <c:ptCount val="1"/>
                <c:pt idx="0">
                  <c:v>金额</c:v>
                </c:pt>
              </c:strCache>
            </c:strRef>
          </c:cat>
          <c:val>
            <c:numRef>
              <c:f>'Sheet4 (2)'!$C$2</c:f>
              <c:numCache>
                <c:formatCode>General</c:formatCode>
                <c:ptCount val="1"/>
                <c:pt idx="0">
                  <c:v>1232.49</c:v>
                </c:pt>
              </c:numCache>
            </c:numRef>
          </c:val>
          <c:extLst xmlns:c16r2="http://schemas.microsoft.com/office/drawing/2015/06/chart">
            <c:ext xmlns:c16="http://schemas.microsoft.com/office/drawing/2014/chart" uri="{C3380CC4-5D6E-409C-BE32-E72D297353CC}">
              <c16:uniqueId val="{00000001-3FFE-4778-ABD0-9FFA40431922}"/>
            </c:ext>
          </c:extLst>
        </c:ser>
        <c:dLbls>
          <c:showVal val="1"/>
        </c:dLbls>
        <c:gapWidth val="219"/>
        <c:overlap val="-27"/>
        <c:axId val="437924608"/>
        <c:axId val="437926528"/>
      </c:barChart>
      <c:catAx>
        <c:axId val="437924608"/>
        <c:scaling>
          <c:orientation val="minMax"/>
        </c:scaling>
        <c:delete val="1"/>
        <c:axPos val="b"/>
        <c:title>
          <c:tx>
            <c:rich>
              <a:bodyPr rot="0" spcFirstLastPara="1" vertOverflow="ellipsis" vert="horz" wrap="square" anchor="ctr" anchorCtr="1"/>
              <a:lstStyle/>
              <a:p>
                <a:pPr>
                  <a:defRPr lang="en-US" sz="105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mn-cs"/>
                  </a:defRPr>
                </a:pPr>
                <a:r>
                  <a:rPr lang="zh-CN"/>
                  <a:t>一般公共预算财政拨款支出决算变动情况</a:t>
                </a:r>
                <a:endParaRPr lang="en-US"/>
              </a:p>
            </c:rich>
          </c:tx>
          <c:layout>
            <c:manualLayout>
              <c:xMode val="edge"/>
              <c:yMode val="edge"/>
              <c:x val="0.29429686673781297"/>
              <c:y val="0.78506889763779664"/>
            </c:manualLayout>
          </c:layout>
          <c:spPr>
            <a:noFill/>
            <a:ln>
              <a:noFill/>
            </a:ln>
            <a:effectLst/>
          </c:spPr>
        </c:title>
        <c:numFmt formatCode="General" sourceLinked="1"/>
        <c:majorTickMark val="none"/>
        <c:tickLblPos val="nextTo"/>
        <c:crossAx val="437926528"/>
        <c:crosses val="autoZero"/>
        <c:auto val="1"/>
        <c:lblAlgn val="ctr"/>
        <c:lblOffset val="100"/>
      </c:catAx>
      <c:valAx>
        <c:axId val="437926528"/>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105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mn-cs"/>
              </a:defRPr>
            </a:pPr>
            <a:endParaRPr lang="zh-CN"/>
          </a:p>
        </c:txPr>
        <c:crossAx val="437924608"/>
        <c:crosses val="autoZero"/>
        <c:crossBetween val="between"/>
      </c:valAx>
      <c:spPr>
        <a:noFill/>
        <a:ln>
          <a:noFill/>
        </a:ln>
        <a:effectLst/>
      </c:spPr>
    </c:plotArea>
    <c:legend>
      <c:legendPos val="b"/>
      <c:layout>
        <c:manualLayout>
          <c:xMode val="edge"/>
          <c:yMode val="edge"/>
          <c:x val="0.41757799505831078"/>
          <c:y val="0.86631889763779668"/>
          <c:w val="0.17846153846153945"/>
          <c:h val="7.5902595508894694E-2"/>
        </c:manualLayout>
      </c:layout>
      <c:spPr>
        <a:noFill/>
        <a:ln>
          <a:noFill/>
        </a:ln>
        <a:effectLst/>
      </c:spPr>
      <c:txPr>
        <a:bodyPr rot="0" spcFirstLastPara="1" vertOverflow="ellipsis" vert="horz" wrap="square" anchor="ctr" anchorCtr="1"/>
        <a:lstStyle/>
        <a:p>
          <a:pPr>
            <a:defRPr lang="en-US" sz="105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sz="1050">
          <a:latin typeface="仿宋" panose="02010609060101010101" pitchFamily="3" charset="-122"/>
          <a:ea typeface="仿宋" panose="02010609060101010101" pitchFamily="3" charset="-122"/>
        </a:defRPr>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lang="en-US" sz="1260" b="1" i="0" u="none" strike="noStrike" kern="1200" spc="0" normalizeH="0" baseline="0">
                <a:solidFill>
                  <a:schemeClr val="dk1">
                    <a:lumMod val="50000"/>
                    <a:lumOff val="50000"/>
                  </a:schemeClr>
                </a:solidFill>
                <a:latin typeface="仿宋" panose="02010609060101010101" pitchFamily="3" charset="-122"/>
                <a:ea typeface="仿宋" panose="02010609060101010101" pitchFamily="3" charset="-122"/>
                <a:cs typeface="+mj-cs"/>
              </a:defRPr>
            </a:pPr>
            <a:r>
              <a:rPr lang="zh-CN"/>
              <a:t>一般公共预算财政拨款支出决算结构</a:t>
            </a:r>
            <a:endParaRPr lang="en-US"/>
          </a:p>
        </c:rich>
      </c:tx>
      <c:spPr>
        <a:noFill/>
        <a:ln>
          <a:noFill/>
        </a:ln>
        <a:effectLst/>
      </c:spPr>
    </c:title>
    <c:plotArea>
      <c:layout/>
      <c:pieChart>
        <c:varyColors val="1"/>
        <c:ser>
          <c:idx val="0"/>
          <c:order val="0"/>
          <c:dPt>
            <c:idx val="0"/>
            <c:spPr>
              <a:gradFill>
                <a:gsLst>
                  <a:gs pos="100000">
                    <a:schemeClr val="accent1">
                      <a:lumMod val="60000"/>
                      <a:lumOff val="40000"/>
                    </a:schemeClr>
                  </a:gs>
                  <a:gs pos="0">
                    <a:schemeClr val="accent1"/>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0-B025-4C6D-AAD2-57F1DEB3C3AA}"/>
              </c:ext>
            </c:extLst>
          </c:dPt>
          <c:dPt>
            <c:idx val="1"/>
            <c:spPr>
              <a:gradFill>
                <a:gsLst>
                  <a:gs pos="100000">
                    <a:schemeClr val="accent2">
                      <a:lumMod val="60000"/>
                      <a:lumOff val="40000"/>
                    </a:schemeClr>
                  </a:gs>
                  <a:gs pos="0">
                    <a:schemeClr val="accent2"/>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1-B025-4C6D-AAD2-57F1DEB3C3AA}"/>
              </c:ext>
            </c:extLst>
          </c:dPt>
          <c:dPt>
            <c:idx val="2"/>
            <c:spPr>
              <a:gradFill>
                <a:gsLst>
                  <a:gs pos="100000">
                    <a:schemeClr val="accent3">
                      <a:lumMod val="60000"/>
                      <a:lumOff val="40000"/>
                    </a:schemeClr>
                  </a:gs>
                  <a:gs pos="0">
                    <a:schemeClr val="accent3"/>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2-B025-4C6D-AAD2-57F1DEB3C3AA}"/>
              </c:ext>
            </c:extLst>
          </c:dPt>
          <c:dPt>
            <c:idx val="3"/>
            <c:spPr>
              <a:gradFill>
                <a:gsLst>
                  <a:gs pos="100000">
                    <a:schemeClr val="accent4">
                      <a:lumMod val="60000"/>
                      <a:lumOff val="40000"/>
                    </a:schemeClr>
                  </a:gs>
                  <a:gs pos="0">
                    <a:schemeClr val="accent4"/>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3-B025-4C6D-AAD2-57F1DEB3C3AA}"/>
              </c:ext>
            </c:extLst>
          </c:dPt>
          <c:dPt>
            <c:idx val="4"/>
            <c:spPr>
              <a:gradFill>
                <a:gsLst>
                  <a:gs pos="100000">
                    <a:schemeClr val="accent5">
                      <a:lumMod val="60000"/>
                      <a:lumOff val="40000"/>
                    </a:schemeClr>
                  </a:gs>
                  <a:gs pos="0">
                    <a:schemeClr val="accent5"/>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4-B025-4C6D-AAD2-57F1DEB3C3AA}"/>
              </c:ext>
            </c:extLst>
          </c:dPt>
          <c:dLbls>
            <c:dLbl>
              <c:idx val="4"/>
              <c:layout>
                <c:manualLayout>
                  <c:x val="3.9991469816272905E-2"/>
                  <c:y val="0.14013378536016324"/>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025-4C6D-AAD2-57F1DEB3C3AA}"/>
                </c:ext>
              </c:extLst>
            </c:dLbl>
            <c:numFmt formatCode="0.00%" sourceLinked="0"/>
            <c:spPr>
              <a:noFill/>
              <a:ln>
                <a:noFill/>
              </a:ln>
              <a:effectLst/>
            </c:spPr>
            <c:txPr>
              <a:bodyPr rot="0" spcFirstLastPara="1" vertOverflow="ellipsis" vert="horz" wrap="square" lIns="38100" tIns="19050" rIns="38100" bIns="19050" anchor="ctr" anchorCtr="1"/>
              <a:lstStyle/>
              <a:p>
                <a:pPr>
                  <a:defRPr lang="en-US" sz="1050" b="0" i="0" u="none" strike="noStrike" kern="1200" baseline="0">
                    <a:solidFill>
                      <a:schemeClr val="dk1">
                        <a:lumMod val="75000"/>
                        <a:lumOff val="25000"/>
                      </a:schemeClr>
                    </a:solidFill>
                    <a:latin typeface="仿宋" panose="02010609060101010101" pitchFamily="3" charset="-122"/>
                    <a:ea typeface="仿宋" panose="02010609060101010101" pitchFamily="3" charset="-122"/>
                    <a:cs typeface="+mn-cs"/>
                  </a:defRPr>
                </a:pPr>
                <a:endParaRPr lang="zh-CN"/>
              </a:p>
            </c:txPr>
            <c:dLblPos val="ctr"/>
            <c:showPercent val="1"/>
            <c:showLeaderLines val="1"/>
            <c:leaderLines>
              <c:spPr>
                <a:ln w="9525" cap="flat" cmpd="sng" algn="ctr">
                  <a:solidFill>
                    <a:schemeClr val="dk1">
                      <a:lumMod val="35000"/>
                      <a:lumOff val="65000"/>
                    </a:schemeClr>
                  </a:solidFill>
                  <a:prstDash val="solid"/>
                  <a:round/>
                </a:ln>
                <a:effectLst/>
              </c:spPr>
            </c:leaderLines>
            <c:extLst xmlns:c16r2="http://schemas.microsoft.com/office/drawing/2015/06/chart">
              <c:ext xmlns:c15="http://schemas.microsoft.com/office/drawing/2012/chart" uri="{CE6537A1-D6FC-4f65-9D91-7224C49458BB}"/>
            </c:extLst>
          </c:dLbls>
          <c:cat>
            <c:strRef>
              <c:f>Sheet5!$A$1:$A$5</c:f>
              <c:strCache>
                <c:ptCount val="5"/>
                <c:pt idx="0">
                  <c:v>一般公共服务（类）支出</c:v>
                </c:pt>
                <c:pt idx="1">
                  <c:v>教育支出（类）支出</c:v>
                </c:pt>
                <c:pt idx="2">
                  <c:v>社会保障和就业（类）支出</c:v>
                </c:pt>
                <c:pt idx="3">
                  <c:v>卫生健康支出</c:v>
                </c:pt>
                <c:pt idx="4">
                  <c:v>住房保障支出</c:v>
                </c:pt>
              </c:strCache>
            </c:strRef>
          </c:cat>
          <c:val>
            <c:numRef>
              <c:f>Sheet5!$B$1:$B$5</c:f>
              <c:numCache>
                <c:formatCode>General</c:formatCode>
                <c:ptCount val="5"/>
                <c:pt idx="0">
                  <c:v>943.04</c:v>
                </c:pt>
                <c:pt idx="1">
                  <c:v>4</c:v>
                </c:pt>
                <c:pt idx="2">
                  <c:v>194.49</c:v>
                </c:pt>
                <c:pt idx="3">
                  <c:v>41.55</c:v>
                </c:pt>
                <c:pt idx="4">
                  <c:v>49.41</c:v>
                </c:pt>
              </c:numCache>
            </c:numRef>
          </c:val>
          <c:extLst xmlns:c16r2="http://schemas.microsoft.com/office/drawing/2015/06/chart">
            <c:ext xmlns:c16="http://schemas.microsoft.com/office/drawing/2014/chart" uri="{C3380CC4-5D6E-409C-BE32-E72D297353CC}">
              <c16:uniqueId val="{00000005-B025-4C6D-AAD2-57F1DEB3C3AA}"/>
            </c:ext>
          </c:extLst>
        </c:ser>
        <c:dLbls>
          <c:showVal val="1"/>
        </c:dLbls>
        <c:firstSliceAng val="0"/>
      </c:pieChart>
      <c:spPr>
        <a:noFill/>
        <a:ln>
          <a:noFill/>
        </a:ln>
        <a:effectLst/>
      </c:spPr>
    </c:plotArea>
    <c:legend>
      <c:legendPos val="b"/>
      <c:spPr>
        <a:solidFill>
          <a:schemeClr val="lt1">
            <a:alpha val="50000"/>
          </a:schemeClr>
        </a:solidFill>
        <a:ln>
          <a:noFill/>
        </a:ln>
        <a:effectLst/>
      </c:spPr>
      <c:txPr>
        <a:bodyPr rot="0" spcFirstLastPara="1" vertOverflow="ellipsis" vert="horz" wrap="square" anchor="ctr" anchorCtr="1"/>
        <a:lstStyle/>
        <a:p>
          <a:pPr>
            <a:defRPr lang="en-US" sz="1050" b="0" i="0" u="none" strike="noStrike" kern="1200" baseline="0">
              <a:solidFill>
                <a:schemeClr val="dk1">
                  <a:lumMod val="65000"/>
                  <a:lumOff val="35000"/>
                </a:schemeClr>
              </a:solidFill>
              <a:latin typeface="仿宋" panose="02010609060101010101" pitchFamily="3" charset="-122"/>
              <a:ea typeface="仿宋" panose="02010609060101010101" pitchFamily="3" charset="-122"/>
              <a:cs typeface="+mn-cs"/>
            </a:defRPr>
          </a:pPr>
          <a:endParaRPr lang="zh-CN"/>
        </a:p>
      </c:txPr>
    </c:legend>
    <c:plotVisOnly val="1"/>
    <c:dispBlanksAs val="zero"/>
  </c:chart>
  <c:spPr>
    <a:pattFill prst="dkDnDiag">
      <a:fgClr>
        <a:schemeClr val="lt1"/>
      </a:fgClr>
      <a:bgClr>
        <a:schemeClr val="dk1">
          <a:lumMod val="10000"/>
          <a:lumOff val="90000"/>
        </a:schemeClr>
      </a:bgClr>
    </a:pattFill>
    <a:ln w="9525" cap="flat" cmpd="sng" algn="ctr">
      <a:solidFill>
        <a:schemeClr val="dk1">
          <a:lumMod val="15000"/>
          <a:lumOff val="85000"/>
        </a:schemeClr>
      </a:solidFill>
      <a:prstDash val="solid"/>
      <a:round/>
    </a:ln>
    <a:effectLst/>
  </c:spPr>
  <c:txPr>
    <a:bodyPr/>
    <a:lstStyle/>
    <a:p>
      <a:pPr>
        <a:defRPr lang="zh-CN" sz="1050">
          <a:latin typeface="仿宋" panose="02010609060101010101" pitchFamily="3" charset="-122"/>
          <a:ea typeface="仿宋" panose="02010609060101010101" pitchFamily="3" charset="-122"/>
        </a:defRPr>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lang="en-US" sz="1260" b="1" i="0" u="none" strike="noStrike" kern="1200" spc="0" normalizeH="0" baseline="0">
                <a:solidFill>
                  <a:schemeClr val="dk1">
                    <a:lumMod val="50000"/>
                    <a:lumOff val="50000"/>
                  </a:schemeClr>
                </a:solidFill>
                <a:latin typeface="仿宋" panose="02010609060101010101" pitchFamily="49" charset="-122"/>
                <a:ea typeface="仿宋" panose="02010609060101010101" pitchFamily="49" charset="-122"/>
                <a:cs typeface="+mj-cs"/>
              </a:defRPr>
            </a:pPr>
            <a:r>
              <a:rPr lang="zh-CN"/>
              <a:t>“三公”经费财政拨款支出结构</a:t>
            </a:r>
            <a:endParaRPr lang="en-US"/>
          </a:p>
        </c:rich>
      </c:tx>
      <c:spPr>
        <a:noFill/>
        <a:ln>
          <a:noFill/>
        </a:ln>
        <a:effectLst/>
      </c:spPr>
    </c:title>
    <c:plotArea>
      <c:layout/>
      <c:pieChart>
        <c:varyColors val="1"/>
        <c:ser>
          <c:idx val="0"/>
          <c:order val="0"/>
          <c:dPt>
            <c:idx val="0"/>
            <c:spPr>
              <a:gradFill>
                <a:gsLst>
                  <a:gs pos="100000">
                    <a:schemeClr val="accent1">
                      <a:lumMod val="60000"/>
                      <a:lumOff val="40000"/>
                    </a:schemeClr>
                  </a:gs>
                  <a:gs pos="0">
                    <a:schemeClr val="accent1"/>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1-69FE-4953-9760-A49AB8DBFA11}"/>
              </c:ext>
            </c:extLst>
          </c:dPt>
          <c:dPt>
            <c:idx val="1"/>
            <c:spPr>
              <a:gradFill>
                <a:gsLst>
                  <a:gs pos="100000">
                    <a:schemeClr val="accent2">
                      <a:lumMod val="60000"/>
                      <a:lumOff val="40000"/>
                    </a:schemeClr>
                  </a:gs>
                  <a:gs pos="0">
                    <a:schemeClr val="accent2"/>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3-69FE-4953-9760-A49AB8DBFA11}"/>
              </c:ext>
            </c:extLst>
          </c:dPt>
          <c:dPt>
            <c:idx val="2"/>
            <c:spPr>
              <a:gradFill>
                <a:gsLst>
                  <a:gs pos="100000">
                    <a:schemeClr val="accent3">
                      <a:lumMod val="60000"/>
                      <a:lumOff val="40000"/>
                    </a:schemeClr>
                  </a:gs>
                  <a:gs pos="0">
                    <a:schemeClr val="accent3"/>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5-69FE-4953-9760-A49AB8DBFA11}"/>
              </c:ext>
            </c:extLst>
          </c:dPt>
          <c:dLbls>
            <c:numFmt formatCode="0.00%" sourceLinked="0"/>
            <c:spPr>
              <a:noFill/>
              <a:ln>
                <a:noFill/>
              </a:ln>
              <a:effectLst/>
            </c:spPr>
            <c:txPr>
              <a:bodyPr rot="0" spcFirstLastPara="1" vertOverflow="ellipsis" vert="horz" wrap="square" anchor="ctr" anchorCtr="1"/>
              <a:lstStyle/>
              <a:p>
                <a:pPr>
                  <a:defRPr lang="en-US" sz="1050" b="0" i="0" u="none" strike="noStrike" kern="1200" baseline="0">
                    <a:solidFill>
                      <a:schemeClr val="dk1">
                        <a:lumMod val="75000"/>
                        <a:lumOff val="25000"/>
                      </a:schemeClr>
                    </a:solidFill>
                    <a:latin typeface="仿宋" panose="02010609060101010101" pitchFamily="49" charset="-122"/>
                    <a:ea typeface="仿宋" panose="02010609060101010101" pitchFamily="49" charset="-122"/>
                    <a:cs typeface="+mn-cs"/>
                  </a:defRPr>
                </a:pPr>
                <a:endParaRPr lang="zh-CN"/>
              </a:p>
            </c:txPr>
            <c:dLblPos val="bestFit"/>
            <c:showPercent val="1"/>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Sheet6!$A$1:$A$3</c:f>
              <c:strCache>
                <c:ptCount val="3"/>
                <c:pt idx="0">
                  <c:v>因公出国（境）费支出</c:v>
                </c:pt>
                <c:pt idx="1">
                  <c:v>公务用车购置及运行维护费支出</c:v>
                </c:pt>
                <c:pt idx="2">
                  <c:v>公务接待费支出</c:v>
                </c:pt>
              </c:strCache>
            </c:strRef>
          </c:cat>
          <c:val>
            <c:numRef>
              <c:f>Sheet6!$B$1:$B$3</c:f>
              <c:numCache>
                <c:formatCode>0.00_ </c:formatCode>
                <c:ptCount val="3"/>
                <c:pt idx="0" formatCode="General">
                  <c:v>0</c:v>
                </c:pt>
                <c:pt idx="1">
                  <c:v>17.25</c:v>
                </c:pt>
                <c:pt idx="2">
                  <c:v>39.370000000000005</c:v>
                </c:pt>
              </c:numCache>
            </c:numRef>
          </c:val>
          <c:extLst xmlns:c16r2="http://schemas.microsoft.com/office/drawing/2015/06/chart">
            <c:ext xmlns:c16="http://schemas.microsoft.com/office/drawing/2014/chart" uri="{C3380CC4-5D6E-409C-BE32-E72D297353CC}">
              <c16:uniqueId val="{00000006-69FE-4953-9760-A49AB8DBFA11}"/>
            </c:ext>
          </c:extLst>
        </c:ser>
        <c:dLbls>
          <c:showVal val="1"/>
        </c:dLbls>
        <c:firstSliceAng val="0"/>
      </c:pieChart>
      <c:spPr>
        <a:noFill/>
        <a:ln>
          <a:noFill/>
        </a:ln>
        <a:effectLst/>
      </c:spPr>
    </c:plotArea>
    <c:legend>
      <c:legendPos val="r"/>
      <c:layout>
        <c:manualLayout>
          <c:xMode val="edge"/>
          <c:yMode val="edge"/>
          <c:x val="0.59683769061735059"/>
          <c:y val="0.36774948585972239"/>
          <c:w val="0.3887149219518769"/>
          <c:h val="0.38657895035847856"/>
        </c:manualLayout>
      </c:layout>
      <c:spPr>
        <a:solidFill>
          <a:schemeClr val="lt1">
            <a:alpha val="50000"/>
          </a:schemeClr>
        </a:solidFill>
        <a:ln>
          <a:noFill/>
        </a:ln>
        <a:effectLst/>
      </c:spPr>
      <c:txPr>
        <a:bodyPr rot="0" spcFirstLastPara="1" vertOverflow="ellipsis" vert="horz" wrap="square" anchor="ctr" anchorCtr="1"/>
        <a:lstStyle/>
        <a:p>
          <a:pPr>
            <a:defRPr lang="en-US" sz="1050" b="0" i="0" u="none" strike="noStrike" kern="1200" baseline="0">
              <a:solidFill>
                <a:schemeClr val="dk1">
                  <a:lumMod val="65000"/>
                  <a:lumOff val="35000"/>
                </a:schemeClr>
              </a:solidFill>
              <a:latin typeface="仿宋" panose="02010609060101010101" pitchFamily="49" charset="-122"/>
              <a:ea typeface="仿宋" panose="02010609060101010101" pitchFamily="49" charset="-122"/>
              <a:cs typeface="+mn-cs"/>
            </a:defRPr>
          </a:pPr>
          <a:endParaRPr lang="zh-CN"/>
        </a:p>
      </c:txPr>
    </c:legend>
    <c:plotVisOnly val="1"/>
    <c:dispBlanksAs val="zero"/>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sz="1050">
          <a:latin typeface="仿宋" panose="02010609060101010101" pitchFamily="49" charset="-122"/>
          <a:ea typeface="仿宋" panose="02010609060101010101" pitchFamily="49" charset="-122"/>
        </a:defRPr>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CFB2A55-468E-464D-9188-98BBFBF1CFA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1566</Words>
  <Characters>8929</Characters>
  <Application>Microsoft Office Word</Application>
  <DocSecurity>0</DocSecurity>
  <Lines>74</Lines>
  <Paragraphs>20</Paragraphs>
  <ScaleCrop>false</ScaleCrop>
  <Company>四川省财政厅</Company>
  <LinksUpToDate>false</LinksUpToDate>
  <CharactersWithSpaces>10475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gaowenwen</cp:lastModifiedBy>
  <cp:revision>6</cp:revision>
  <cp:lastPrinted>2022-08-07T02:23:00Z</cp:lastPrinted>
  <dcterms:created xsi:type="dcterms:W3CDTF">2022-09-06T01:28:00Z</dcterms:created>
  <dcterms:modified xsi:type="dcterms:W3CDTF">2022-09-09T01:07:00Z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